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B5B404" w14:textId="77777777" w:rsidR="00050A6C" w:rsidRPr="000E746A" w:rsidRDefault="00050A6C" w:rsidP="00050A6C">
      <w:pPr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sz w:val="20"/>
        </w:rPr>
      </w:pPr>
      <w:r w:rsidRPr="000E746A">
        <w:rPr>
          <w:sz w:val="20"/>
        </w:rPr>
        <w:tab/>
      </w:r>
      <w:r w:rsidRPr="000E746A">
        <w:rPr>
          <w:sz w:val="20"/>
        </w:rPr>
        <w:tab/>
      </w:r>
      <w:r w:rsidRPr="000E746A">
        <w:rPr>
          <w:sz w:val="20"/>
        </w:rPr>
        <w:tab/>
      </w:r>
      <w:r w:rsidRPr="000E746A">
        <w:rPr>
          <w:sz w:val="20"/>
        </w:rPr>
        <w:tab/>
      </w:r>
      <w:r w:rsidRPr="000E746A">
        <w:rPr>
          <w:sz w:val="20"/>
        </w:rPr>
        <w:tab/>
      </w:r>
    </w:p>
    <w:p w14:paraId="07EB7ACA" w14:textId="03B245CD" w:rsidR="00050A6C" w:rsidRPr="000E746A" w:rsidRDefault="006408DB" w:rsidP="00050A6C">
      <w:pPr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rPr>
          <w:sz w:val="20"/>
        </w:rPr>
      </w:pPr>
      <w:bookmarkStart w:id="0" w:name="_GoBack"/>
      <w:bookmarkEnd w:id="0"/>
      <w:r>
        <w:rPr>
          <w:sz w:val="20"/>
        </w:rPr>
        <w:tab/>
        <w:t>Legend figure 2</w:t>
      </w:r>
      <w:r w:rsidR="00050A6C" w:rsidRPr="000E746A">
        <w:rPr>
          <w:sz w:val="20"/>
        </w:rPr>
        <w:t xml:space="preserve">: </w:t>
      </w:r>
      <w:proofErr w:type="spellStart"/>
      <w:r w:rsidR="00050A6C" w:rsidRPr="000E746A">
        <w:rPr>
          <w:sz w:val="20"/>
        </w:rPr>
        <w:t>Biplot</w:t>
      </w:r>
      <w:proofErr w:type="spellEnd"/>
      <w:r w:rsidR="00050A6C" w:rsidRPr="000E746A">
        <w:rPr>
          <w:sz w:val="20"/>
        </w:rPr>
        <w:t xml:space="preserve"> of EDEQ (post-partum) and </w:t>
      </w:r>
      <w:proofErr w:type="spellStart"/>
      <w:r w:rsidR="00050A6C" w:rsidRPr="000E746A">
        <w:rPr>
          <w:sz w:val="20"/>
        </w:rPr>
        <w:t>Chatoor</w:t>
      </w:r>
      <w:proofErr w:type="spellEnd"/>
      <w:r w:rsidR="00050A6C" w:rsidRPr="000E746A">
        <w:rPr>
          <w:sz w:val="20"/>
        </w:rPr>
        <w:t xml:space="preserve"> scale scores. Individuals with a total EPDS score above 10 are highlighted with open circles, and a cross marker is used for other subjects. Abbreviations for the EDEQ and </w:t>
      </w:r>
      <w:proofErr w:type="spellStart"/>
      <w:r w:rsidR="00050A6C" w:rsidRPr="000E746A">
        <w:rPr>
          <w:sz w:val="20"/>
        </w:rPr>
        <w:t>Chatoor</w:t>
      </w:r>
      <w:proofErr w:type="spellEnd"/>
      <w:r w:rsidR="00050A6C" w:rsidRPr="000E746A">
        <w:rPr>
          <w:sz w:val="20"/>
        </w:rPr>
        <w:t xml:space="preserve"> questionnaire: EDEQ_WEI, weight; EDEQ_SIL, silhouette (shape); EDEQ_RES,</w:t>
      </w:r>
    </w:p>
    <w:p w14:paraId="6FD25AF7" w14:textId="77777777" w:rsidR="00050A6C" w:rsidRDefault="00050A6C" w:rsidP="00050A6C">
      <w:pPr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rPr>
          <w:sz w:val="20"/>
        </w:rPr>
      </w:pPr>
      <w:proofErr w:type="gramStart"/>
      <w:r w:rsidRPr="000E746A">
        <w:rPr>
          <w:sz w:val="20"/>
        </w:rPr>
        <w:t>restriction</w:t>
      </w:r>
      <w:proofErr w:type="gramEnd"/>
      <w:r w:rsidRPr="000E746A">
        <w:rPr>
          <w:sz w:val="20"/>
        </w:rPr>
        <w:t xml:space="preserve">; EDEQ_FOO, food; C_SC, struggle for control; C_DC, dyadic conflict; C_MC, maternal </w:t>
      </w:r>
      <w:proofErr w:type="spellStart"/>
      <w:r w:rsidRPr="000E746A">
        <w:rPr>
          <w:sz w:val="20"/>
        </w:rPr>
        <w:t>non</w:t>
      </w:r>
      <w:r>
        <w:rPr>
          <w:sz w:val="20"/>
        </w:rPr>
        <w:t>T</w:t>
      </w:r>
      <w:r w:rsidRPr="000E746A">
        <w:rPr>
          <w:sz w:val="20"/>
        </w:rPr>
        <w:t>ontingency</w:t>
      </w:r>
      <w:proofErr w:type="spellEnd"/>
      <w:r w:rsidRPr="000E746A">
        <w:rPr>
          <w:sz w:val="20"/>
        </w:rPr>
        <w:t xml:space="preserve">; C_TD, talk and distraction; </w:t>
      </w:r>
      <w:proofErr w:type="spellStart"/>
      <w:r w:rsidRPr="000E746A">
        <w:rPr>
          <w:sz w:val="20"/>
        </w:rPr>
        <w:t>C_DR,dyadic</w:t>
      </w:r>
      <w:proofErr w:type="spellEnd"/>
      <w:r w:rsidRPr="000E746A">
        <w:rPr>
          <w:sz w:val="20"/>
        </w:rPr>
        <w:t xml:space="preserve"> reciprocity.</w:t>
      </w:r>
    </w:p>
    <w:p w14:paraId="73F8AFC9" w14:textId="77777777" w:rsidR="00050A6C" w:rsidRPr="000E746A" w:rsidRDefault="00050A6C" w:rsidP="00050A6C">
      <w:pPr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rPr>
          <w:sz w:val="20"/>
        </w:rPr>
      </w:pPr>
      <w:r w:rsidRPr="000E746A">
        <w:rPr>
          <w:sz w:val="20"/>
        </w:rPr>
        <w:t>(</w:t>
      </w:r>
      <w:proofErr w:type="gramStart"/>
      <w:r w:rsidRPr="000E746A">
        <w:rPr>
          <w:sz w:val="20"/>
        </w:rPr>
        <w:t>the</w:t>
      </w:r>
      <w:proofErr w:type="gramEnd"/>
      <w:r w:rsidRPr="000E746A">
        <w:rPr>
          <w:sz w:val="20"/>
        </w:rPr>
        <w:t xml:space="preserve"> smaller the angle is, the more correlated the variables are; variables pointing in opposite directions are correlated negatively</w:t>
      </w:r>
      <w:r w:rsidR="003E3718">
        <w:rPr>
          <w:sz w:val="20"/>
        </w:rPr>
        <w:t>)</w:t>
      </w:r>
    </w:p>
    <w:p w14:paraId="267CAE2D" w14:textId="77777777" w:rsidR="002C582A" w:rsidRDefault="006408DB"/>
    <w:sectPr w:rsidR="002C582A" w:rsidSect="006C7001"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ヒラギノ角ゴ Pro W3">
    <w:charset w:val="4E"/>
    <w:family w:val="auto"/>
    <w:pitch w:val="variable"/>
    <w:sig w:usb0="E00002FF" w:usb1="7AC7FFFF" w:usb2="00000012" w:usb3="00000000" w:csb0="0002000D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A6C"/>
    <w:rsid w:val="00050A6C"/>
    <w:rsid w:val="003E3718"/>
    <w:rsid w:val="006408DB"/>
    <w:rsid w:val="006C7001"/>
    <w:rsid w:val="008E0B35"/>
    <w:rsid w:val="00B2068F"/>
    <w:rsid w:val="00C82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oNotEmbedSmartTags/>
  <w:decimalSymbol w:val=","/>
  <w:listSeparator w:val=";"/>
  <w14:docId w14:val="70001A6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fr-FR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0A6C"/>
    <w:rPr>
      <w:rFonts w:eastAsia="ヒラギノ角ゴ Pro W3"/>
      <w:color w:val="000000"/>
      <w:sz w:val="24"/>
      <w:szCs w:val="24"/>
      <w:lang w:val="en-GB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fr-FR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0A6C"/>
    <w:rPr>
      <w:rFonts w:eastAsia="ヒラギノ角ゴ Pro W3"/>
      <w:color w:val="000000"/>
      <w:sz w:val="24"/>
      <w:szCs w:val="24"/>
      <w:lang w:val="en-GB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523</Characters>
  <Application>Microsoft Macintosh Word</Application>
  <DocSecurity>0</DocSecurity>
  <Lines>4</Lines>
  <Paragraphs>1</Paragraphs>
  <ScaleCrop>false</ScaleCrop>
  <Company>hopital Tarnier</Company>
  <LinksUpToDate>false</LinksUpToDate>
  <CharactersWithSpaces>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Claire/Squires</dc:creator>
  <cp:keywords/>
  <dc:description/>
  <cp:lastModifiedBy>Claire/Squires</cp:lastModifiedBy>
  <cp:revision>2</cp:revision>
  <dcterms:created xsi:type="dcterms:W3CDTF">2013-09-30T18:07:00Z</dcterms:created>
  <dcterms:modified xsi:type="dcterms:W3CDTF">2013-09-30T18:07:00Z</dcterms:modified>
</cp:coreProperties>
</file>