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CED032" w14:textId="27DAD7B5" w:rsidR="00703142" w:rsidRDefault="00BC6B4D" w:rsidP="00703142">
      <w:pPr>
        <w:rPr>
          <w:rFonts w:ascii="Helvetica" w:hAnsi="Helvetica"/>
        </w:rPr>
      </w:pPr>
      <w:bookmarkStart w:id="0" w:name="_GoBack"/>
      <w:r>
        <w:rPr>
          <w:noProof/>
          <w:lang w:eastAsia="en-US"/>
        </w:rPr>
        <w:drawing>
          <wp:inline distT="0" distB="0" distL="0" distR="0" wp14:anchorId="119209CB" wp14:editId="2A8E7109">
            <wp:extent cx="5448300" cy="3517900"/>
            <wp:effectExtent l="0" t="0" r="12700" b="1270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End w:id="0"/>
    </w:p>
    <w:p w14:paraId="6C160F90" w14:textId="77777777" w:rsidR="00703142" w:rsidRDefault="00703142" w:rsidP="00703142">
      <w:pPr>
        <w:rPr>
          <w:rFonts w:ascii="Helvetica" w:hAnsi="Helvetica"/>
        </w:rPr>
      </w:pPr>
      <w:r>
        <w:rPr>
          <w:rFonts w:ascii="Helvetica" w:hAnsi="Helvetica"/>
        </w:rPr>
        <w:t>Figure 3: Percent Small for Gestational Age and Preterm by Month</w:t>
      </w:r>
    </w:p>
    <w:p w14:paraId="255FFBD4" w14:textId="77777777" w:rsidR="008D7026" w:rsidRDefault="008D7026"/>
    <w:sectPr w:rsidR="008D7026" w:rsidSect="0075151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A4F"/>
    <w:rsid w:val="000C29AD"/>
    <w:rsid w:val="001418C2"/>
    <w:rsid w:val="001B3A4F"/>
    <w:rsid w:val="00286FDA"/>
    <w:rsid w:val="00703142"/>
    <w:rsid w:val="00751513"/>
    <w:rsid w:val="00856B0C"/>
    <w:rsid w:val="008D7026"/>
    <w:rsid w:val="00BC6B4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3E3CCF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1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314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14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1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314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14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mmergler:Documents:JH%20Public%20Health:Work:CHX%20Seasonality:BMC%20Pregnancy%20and%20Childbirth:Response%20to%20Reviewers:CHX%20Tables%2028-May-1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plotArea>
      <c:layout/>
      <c:lineChart>
        <c:grouping val="standard"/>
        <c:varyColors val="0"/>
        <c:ser>
          <c:idx val="3"/>
          <c:order val="0"/>
          <c:tx>
            <c:v>% SGA (&lt;10%) &amp; Pre-Term</c:v>
          </c:tx>
          <c:spPr>
            <a:ln w="28575" cmpd="sng">
              <a:solidFill>
                <a:schemeClr val="tx1"/>
              </a:solidFill>
            </a:ln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'% SGA preterm'!$D$53:$D$64</c:f>
                <c:numCache>
                  <c:formatCode>General</c:formatCode>
                  <c:ptCount val="12"/>
                  <c:pt idx="0">
                    <c:v>1.00242825607064</c:v>
                  </c:pt>
                  <c:pt idx="1">
                    <c:v>1.36587374199451</c:v>
                  </c:pt>
                  <c:pt idx="2">
                    <c:v>1.156299496040317</c:v>
                  </c:pt>
                  <c:pt idx="3">
                    <c:v>1.28512396694215</c:v>
                  </c:pt>
                  <c:pt idx="4">
                    <c:v>1.133333333333333</c:v>
                  </c:pt>
                  <c:pt idx="5">
                    <c:v>1.238034865293186</c:v>
                  </c:pt>
                  <c:pt idx="6">
                    <c:v>1.207545973367153</c:v>
                  </c:pt>
                  <c:pt idx="7">
                    <c:v>1.000363258951738</c:v>
                  </c:pt>
                  <c:pt idx="8">
                    <c:v>0.993569131832798</c:v>
                  </c:pt>
                  <c:pt idx="9">
                    <c:v>1.121485287248949</c:v>
                  </c:pt>
                  <c:pt idx="10">
                    <c:v>1.05179856115108</c:v>
                  </c:pt>
                  <c:pt idx="11">
                    <c:v>0.956607495069034</c:v>
                  </c:pt>
                </c:numCache>
              </c:numRef>
            </c:plus>
            <c:minus>
              <c:numRef>
                <c:f>'% SGA preterm'!$C$53:$C$64</c:f>
                <c:numCache>
                  <c:formatCode>General</c:formatCode>
                  <c:ptCount val="12"/>
                  <c:pt idx="0">
                    <c:v>0.79757174392936</c:v>
                  </c:pt>
                  <c:pt idx="1">
                    <c:v>1.03412625800549</c:v>
                  </c:pt>
                  <c:pt idx="2">
                    <c:v>0.843700503959683</c:v>
                  </c:pt>
                  <c:pt idx="3">
                    <c:v>1.014876033057851</c:v>
                  </c:pt>
                  <c:pt idx="4">
                    <c:v>0.866666666666667</c:v>
                  </c:pt>
                  <c:pt idx="5">
                    <c:v>0.961965134706814</c:v>
                  </c:pt>
                  <c:pt idx="6">
                    <c:v>0.992454026632847</c:v>
                  </c:pt>
                  <c:pt idx="7">
                    <c:v>0.799636741048261</c:v>
                  </c:pt>
                  <c:pt idx="8">
                    <c:v>0.906430868167202</c:v>
                  </c:pt>
                  <c:pt idx="9">
                    <c:v>0.978514712751051</c:v>
                  </c:pt>
                  <c:pt idx="10">
                    <c:v>0.848201438848921</c:v>
                  </c:pt>
                  <c:pt idx="11">
                    <c:v>0.843392504930966</c:v>
                  </c:pt>
                </c:numCache>
              </c:numRef>
            </c:minus>
          </c:errBars>
          <c:cat>
            <c:strRef>
              <c:f>'% SGA preterm'!$A$4:$A$15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'% SGA preterm'!$D$4:$D$15</c:f>
              <c:numCache>
                <c:formatCode>0.0</c:formatCode>
                <c:ptCount val="12"/>
                <c:pt idx="0">
                  <c:v>3.69757174392936</c:v>
                </c:pt>
                <c:pt idx="1">
                  <c:v>3.93412625800549</c:v>
                </c:pt>
                <c:pt idx="2">
                  <c:v>3.743700503959683</c:v>
                </c:pt>
                <c:pt idx="3">
                  <c:v>4.214876033057851</c:v>
                </c:pt>
                <c:pt idx="4">
                  <c:v>3.166666666666667</c:v>
                </c:pt>
                <c:pt idx="5">
                  <c:v>3.961965134706814</c:v>
                </c:pt>
                <c:pt idx="6">
                  <c:v>4.692454026632847</c:v>
                </c:pt>
                <c:pt idx="7">
                  <c:v>4.099636741048261</c:v>
                </c:pt>
                <c:pt idx="8">
                  <c:v>5.506430868167202</c:v>
                </c:pt>
                <c:pt idx="9">
                  <c:v>5.978514712751051</c:v>
                </c:pt>
                <c:pt idx="10">
                  <c:v>4.74820143884892</c:v>
                </c:pt>
                <c:pt idx="11">
                  <c:v>4.043392504930966</c:v>
                </c:pt>
              </c:numCache>
            </c:numRef>
          </c:val>
          <c:smooth val="0"/>
        </c:ser>
        <c:ser>
          <c:idx val="0"/>
          <c:order val="1"/>
          <c:tx>
            <c:v>% SGA (&lt;3%) &amp; Pre-Term</c:v>
          </c:tx>
          <c:spPr>
            <a:ln w="28575" cmpd="sng">
              <a:solidFill>
                <a:schemeClr val="tx1"/>
              </a:solidFill>
              <a:prstDash val="sysDot"/>
            </a:ln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'% SGA preterm'!$H$53:$H$64</c:f>
                <c:numCache>
                  <c:formatCode>General</c:formatCode>
                  <c:ptCount val="12"/>
                  <c:pt idx="0">
                    <c:v>0.585871964679912</c:v>
                  </c:pt>
                  <c:pt idx="1">
                    <c:v>0.534034766697164</c:v>
                  </c:pt>
                  <c:pt idx="2">
                    <c:v>0.7321094312455</c:v>
                  </c:pt>
                  <c:pt idx="3">
                    <c:v>0.812396694214876</c:v>
                  </c:pt>
                  <c:pt idx="4">
                    <c:v>0.683333333333333</c:v>
                  </c:pt>
                  <c:pt idx="5">
                    <c:v>0.852931854199683</c:v>
                  </c:pt>
                  <c:pt idx="6">
                    <c:v>0.834242232086239</c:v>
                  </c:pt>
                  <c:pt idx="7">
                    <c:v>0.554540736896731</c:v>
                  </c:pt>
                  <c:pt idx="8">
                    <c:v>0.611897106109324</c:v>
                  </c:pt>
                  <c:pt idx="9">
                    <c:v>0.631714152265297</c:v>
                  </c:pt>
                  <c:pt idx="10">
                    <c:v>0.61726618705036</c:v>
                  </c:pt>
                  <c:pt idx="11">
                    <c:v>0.567258382642998</c:v>
                  </c:pt>
                </c:numCache>
              </c:numRef>
            </c:plus>
            <c:minus>
              <c:numRef>
                <c:f>'% SGA preterm'!$G$53:$G$64</c:f>
                <c:numCache>
                  <c:formatCode>General</c:formatCode>
                  <c:ptCount val="12"/>
                  <c:pt idx="0">
                    <c:v>0.414128035320088</c:v>
                  </c:pt>
                  <c:pt idx="1">
                    <c:v>0.265965233302836</c:v>
                  </c:pt>
                  <c:pt idx="2">
                    <c:v>0.567890568754499</c:v>
                  </c:pt>
                  <c:pt idx="3">
                    <c:v>0.587603305785124</c:v>
                  </c:pt>
                  <c:pt idx="4">
                    <c:v>0.416666666666667</c:v>
                  </c:pt>
                  <c:pt idx="5">
                    <c:v>0.547068145800317</c:v>
                  </c:pt>
                  <c:pt idx="6">
                    <c:v>0.66575776791376</c:v>
                  </c:pt>
                  <c:pt idx="7">
                    <c:v>0.445459263103269</c:v>
                  </c:pt>
                  <c:pt idx="8">
                    <c:v>0.488102893890675</c:v>
                  </c:pt>
                  <c:pt idx="9">
                    <c:v>0.568285847734703</c:v>
                  </c:pt>
                  <c:pt idx="10">
                    <c:v>0.48273381294964</c:v>
                  </c:pt>
                  <c:pt idx="11">
                    <c:v>0.432741617357002</c:v>
                  </c:pt>
                </c:numCache>
              </c:numRef>
            </c:minus>
          </c:errBars>
          <c:val>
            <c:numRef>
              <c:f>'% SGA preterm'!$F$4:$F$15</c:f>
              <c:numCache>
                <c:formatCode>0.0</c:formatCode>
                <c:ptCount val="12"/>
                <c:pt idx="0">
                  <c:v>1.214128035320088</c:v>
                </c:pt>
                <c:pt idx="1">
                  <c:v>0.365965233302836</c:v>
                </c:pt>
                <c:pt idx="2">
                  <c:v>1.367890568754499</c:v>
                </c:pt>
                <c:pt idx="3">
                  <c:v>1.487603305785124</c:v>
                </c:pt>
                <c:pt idx="4">
                  <c:v>0.916666666666667</c:v>
                </c:pt>
                <c:pt idx="5">
                  <c:v>1.347068145800317</c:v>
                </c:pt>
                <c:pt idx="6">
                  <c:v>1.96575776791376</c:v>
                </c:pt>
                <c:pt idx="7">
                  <c:v>1.245459263103269</c:v>
                </c:pt>
                <c:pt idx="8">
                  <c:v>1.688102893890675</c:v>
                </c:pt>
                <c:pt idx="9">
                  <c:v>1.868285847734703</c:v>
                </c:pt>
                <c:pt idx="10">
                  <c:v>1.58273381294964</c:v>
                </c:pt>
                <c:pt idx="11">
                  <c:v>1.232741617357002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34197176"/>
        <c:axId val="2134200152"/>
      </c:lineChart>
      <c:catAx>
        <c:axId val="2134197176"/>
        <c:scaling>
          <c:orientation val="minMax"/>
        </c:scaling>
        <c:delete val="0"/>
        <c:axPos val="b"/>
        <c:majorTickMark val="out"/>
        <c:minorTickMark val="none"/>
        <c:tickLblPos val="nextTo"/>
        <c:crossAx val="2134200152"/>
        <c:crosses val="autoZero"/>
        <c:auto val="1"/>
        <c:lblAlgn val="ctr"/>
        <c:lblOffset val="100"/>
        <c:noMultiLvlLbl val="0"/>
      </c:catAx>
      <c:valAx>
        <c:axId val="2134200152"/>
        <c:scaling>
          <c:orientation val="minMax"/>
          <c:max val="8.0"/>
          <c:min val="0.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SGA &amp; Pre-Term</a:t>
                </a:r>
              </a:p>
            </c:rich>
          </c:tx>
          <c:layout/>
          <c:overlay val="0"/>
        </c:title>
        <c:numFmt formatCode="0" sourceLinked="0"/>
        <c:majorTickMark val="out"/>
        <c:minorTickMark val="none"/>
        <c:tickLblPos val="nextTo"/>
        <c:crossAx val="2134197176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spPr>
    <a:ln w="28575" cmpd="sng">
      <a:solidFill>
        <a:schemeClr val="tx1"/>
      </a:solidFill>
    </a:ln>
  </c:spPr>
  <c:txPr>
    <a:bodyPr/>
    <a:lstStyle/>
    <a:p>
      <a:pPr>
        <a:defRPr>
          <a:latin typeface="Helvetica"/>
          <a:cs typeface="Helvetica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58</Characters>
  <Application>Microsoft Macintosh Word</Application>
  <DocSecurity>0</DocSecurity>
  <Lines>1</Lines>
  <Paragraphs>1</Paragraphs>
  <ScaleCrop>false</ScaleCrop>
  <Company>Johns Hopkins</Company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Mergler</dc:creator>
  <cp:keywords/>
  <dc:description/>
  <cp:lastModifiedBy>Michelle Mergler</cp:lastModifiedBy>
  <cp:revision>2</cp:revision>
  <dcterms:created xsi:type="dcterms:W3CDTF">2014-05-29T16:20:00Z</dcterms:created>
  <dcterms:modified xsi:type="dcterms:W3CDTF">2014-05-29T16:20:00Z</dcterms:modified>
</cp:coreProperties>
</file>