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D3A" w:rsidRDefault="004B2B6F">
      <w:r>
        <w:t>Fig 11</w:t>
      </w:r>
    </w:p>
    <w:p w:rsidR="004B2B6F" w:rsidRDefault="004B2B6F"/>
    <w:p w:rsidR="004B2B6F" w:rsidRDefault="004B2B6F" w:rsidP="004B2B6F">
      <w:pPr>
        <w:rPr>
          <w:rFonts w:ascii="Times New Roman" w:hAnsi="Times New Roman" w:cs="Times New Roman"/>
        </w:rPr>
      </w:pPr>
    </w:p>
    <w:p w:rsidR="004B2B6F" w:rsidRDefault="004B2B6F" w:rsidP="004B2B6F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FBA0324" wp14:editId="7E177755">
            <wp:extent cx="5052647" cy="2644531"/>
            <wp:effectExtent l="0" t="0" r="27940" b="2286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B2B6F" w:rsidRDefault="004B2B6F" w:rsidP="004B2B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Phosphorus</w:t>
      </w:r>
    </w:p>
    <w:p w:rsidR="004B2B6F" w:rsidRPr="00A4328B" w:rsidRDefault="004B2B6F" w:rsidP="004B2B6F">
      <w:pPr>
        <w:rPr>
          <w:rFonts w:ascii="Times New Roman" w:hAnsi="Times New Roman" w:cs="Times New Roman"/>
        </w:rPr>
      </w:pPr>
    </w:p>
    <w:p w:rsidR="004B2B6F" w:rsidRDefault="004B2B6F">
      <w:bookmarkStart w:id="0" w:name="_GoBack"/>
      <w:bookmarkEnd w:id="0"/>
    </w:p>
    <w:sectPr w:rsidR="004B2B6F" w:rsidSect="007A774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B6F"/>
    <w:rsid w:val="00141D3A"/>
    <w:rsid w:val="004B2B6F"/>
    <w:rsid w:val="007A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ADF32B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tanisfenton:Desktop:Tanis%202014:Research%202014:Dominica%20BM%20comp%2014:Database:BM%20study%20nonPro%20Mar%2017%202014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smoothMarker"/>
        <c:varyColors val="0"/>
        <c:ser>
          <c:idx val="0"/>
          <c:order val="0"/>
          <c:tx>
            <c:v>Preterm</c:v>
          </c:tx>
          <c:spPr>
            <a:ln w="50800">
              <a:solidFill>
                <a:srgbClr val="000000"/>
              </a:solidFill>
              <a:prstDash val="sysDot"/>
            </a:ln>
          </c:spPr>
          <c:marker>
            <c:symbol val="none"/>
          </c:marker>
          <c:xVal>
            <c:numRef>
              <c:f>'Table P'!$J$4:$J$11</c:f>
              <c:numCache>
                <c:formatCode>General</c:formatCode>
                <c:ptCount val="8"/>
                <c:pt idx="0">
                  <c:v>0.25</c:v>
                </c:pt>
                <c:pt idx="1">
                  <c:v>1.0</c:v>
                </c:pt>
                <c:pt idx="2">
                  <c:v>1.5</c:v>
                </c:pt>
                <c:pt idx="3">
                  <c:v>3.5</c:v>
                </c:pt>
                <c:pt idx="4">
                  <c:v>5.5</c:v>
                </c:pt>
                <c:pt idx="5">
                  <c:v>8.0</c:v>
                </c:pt>
                <c:pt idx="6">
                  <c:v>12.0</c:v>
                </c:pt>
              </c:numCache>
            </c:numRef>
          </c:xVal>
          <c:yVal>
            <c:numRef>
              <c:f>'Table P'!$K$4:$K$11</c:f>
              <c:numCache>
                <c:formatCode>0.0</c:formatCode>
                <c:ptCount val="8"/>
                <c:pt idx="0">
                  <c:v>9.5</c:v>
                </c:pt>
                <c:pt idx="1">
                  <c:v>13.24918987341772</c:v>
                </c:pt>
                <c:pt idx="2">
                  <c:v>14.72144776119403</c:v>
                </c:pt>
                <c:pt idx="3">
                  <c:v>14.05007142857143</c:v>
                </c:pt>
                <c:pt idx="4">
                  <c:v>13.02518181818182</c:v>
                </c:pt>
                <c:pt idx="5">
                  <c:v>13.60075862068966</c:v>
                </c:pt>
                <c:pt idx="6">
                  <c:v>11.52363636363636</c:v>
                </c:pt>
              </c:numCache>
            </c:numRef>
          </c:yVal>
          <c:smooth val="1"/>
        </c:ser>
        <c:ser>
          <c:idx val="1"/>
          <c:order val="1"/>
          <c:tx>
            <c:v>Preterm</c:v>
          </c:tx>
          <c:spPr>
            <a:ln w="50800">
              <a:solidFill>
                <a:schemeClr val="bg1">
                  <a:lumMod val="65000"/>
                </a:schemeClr>
              </a:solidFill>
              <a:prstDash val="sysDot"/>
            </a:ln>
          </c:spPr>
          <c:marker>
            <c:symbol val="none"/>
          </c:marker>
          <c:xVal>
            <c:numRef>
              <c:f>'Table P'!$J$4:$J$11</c:f>
              <c:numCache>
                <c:formatCode>General</c:formatCode>
                <c:ptCount val="8"/>
                <c:pt idx="0">
                  <c:v>0.25</c:v>
                </c:pt>
                <c:pt idx="1">
                  <c:v>1.0</c:v>
                </c:pt>
                <c:pt idx="2">
                  <c:v>1.5</c:v>
                </c:pt>
                <c:pt idx="3">
                  <c:v>3.5</c:v>
                </c:pt>
                <c:pt idx="4">
                  <c:v>5.5</c:v>
                </c:pt>
                <c:pt idx="5">
                  <c:v>8.0</c:v>
                </c:pt>
                <c:pt idx="6">
                  <c:v>12.0</c:v>
                </c:pt>
              </c:numCache>
            </c:numRef>
          </c:xVal>
          <c:yVal>
            <c:numRef>
              <c:f>'Table P'!$L$4:$L$11</c:f>
              <c:numCache>
                <c:formatCode>0.0</c:formatCode>
                <c:ptCount val="8"/>
                <c:pt idx="0">
                  <c:v>-3.464181424216495</c:v>
                </c:pt>
                <c:pt idx="1">
                  <c:v>5.335836230337684</c:v>
                </c:pt>
                <c:pt idx="2">
                  <c:v>8.017266880875701</c:v>
                </c:pt>
                <c:pt idx="3">
                  <c:v>7.718958238479424</c:v>
                </c:pt>
                <c:pt idx="4">
                  <c:v>8.222132652795314</c:v>
                </c:pt>
                <c:pt idx="5">
                  <c:v>9.793361883179868</c:v>
                </c:pt>
                <c:pt idx="6">
                  <c:v>7.942678279547692</c:v>
                </c:pt>
              </c:numCache>
            </c:numRef>
          </c:yVal>
          <c:smooth val="1"/>
        </c:ser>
        <c:ser>
          <c:idx val="2"/>
          <c:order val="2"/>
          <c:spPr>
            <a:ln w="50800">
              <a:solidFill>
                <a:schemeClr val="bg1">
                  <a:lumMod val="65000"/>
                </a:schemeClr>
              </a:solidFill>
              <a:prstDash val="sysDot"/>
            </a:ln>
          </c:spPr>
          <c:marker>
            <c:symbol val="none"/>
          </c:marker>
          <c:xVal>
            <c:numRef>
              <c:f>'Table P'!$J$4:$J$11</c:f>
              <c:numCache>
                <c:formatCode>General</c:formatCode>
                <c:ptCount val="8"/>
                <c:pt idx="0">
                  <c:v>0.25</c:v>
                </c:pt>
                <c:pt idx="1">
                  <c:v>1.0</c:v>
                </c:pt>
                <c:pt idx="2">
                  <c:v>1.5</c:v>
                </c:pt>
                <c:pt idx="3">
                  <c:v>3.5</c:v>
                </c:pt>
                <c:pt idx="4">
                  <c:v>5.5</c:v>
                </c:pt>
                <c:pt idx="5">
                  <c:v>8.0</c:v>
                </c:pt>
                <c:pt idx="6">
                  <c:v>12.0</c:v>
                </c:pt>
              </c:numCache>
            </c:numRef>
          </c:xVal>
          <c:yVal>
            <c:numRef>
              <c:f>'Table P'!$M$4:$M$11</c:f>
              <c:numCache>
                <c:formatCode>0.0</c:formatCode>
                <c:ptCount val="8"/>
                <c:pt idx="0">
                  <c:v>22.4641814242165</c:v>
                </c:pt>
                <c:pt idx="1">
                  <c:v>21.16254351649776</c:v>
                </c:pt>
                <c:pt idx="2">
                  <c:v>21.42562864151228</c:v>
                </c:pt>
                <c:pt idx="3">
                  <c:v>20.38118461866343</c:v>
                </c:pt>
                <c:pt idx="4">
                  <c:v>17.82823098356828</c:v>
                </c:pt>
                <c:pt idx="5">
                  <c:v>17.40815535819942</c:v>
                </c:pt>
                <c:pt idx="6">
                  <c:v>15.10459444772503</c:v>
                </c:pt>
              </c:numCache>
            </c:numRef>
          </c:yVal>
          <c:smooth val="1"/>
        </c:ser>
        <c:ser>
          <c:idx val="3"/>
          <c:order val="3"/>
          <c:tx>
            <c:v>term</c:v>
          </c:tx>
          <c:spPr>
            <a:ln w="38100">
              <a:solidFill>
                <a:srgbClr val="000000"/>
              </a:solidFill>
              <a:prstDash val="sysDash"/>
            </a:ln>
          </c:spPr>
          <c:marker>
            <c:symbol val="none"/>
          </c:marker>
          <c:xVal>
            <c:numRef>
              <c:f>'Table P'!$O$4:$O$11</c:f>
              <c:numCache>
                <c:formatCode>General</c:formatCode>
                <c:ptCount val="8"/>
                <c:pt idx="0">
                  <c:v>0.25</c:v>
                </c:pt>
                <c:pt idx="1">
                  <c:v>1.0</c:v>
                </c:pt>
                <c:pt idx="2">
                  <c:v>1.5</c:v>
                </c:pt>
                <c:pt idx="3">
                  <c:v>3.5</c:v>
                </c:pt>
                <c:pt idx="4">
                  <c:v>5.5</c:v>
                </c:pt>
                <c:pt idx="5">
                  <c:v>8.0</c:v>
                </c:pt>
                <c:pt idx="6">
                  <c:v>12.0</c:v>
                </c:pt>
              </c:numCache>
            </c:numRef>
          </c:xVal>
          <c:yVal>
            <c:numRef>
              <c:f>'Table P'!$P$4:$P$11</c:f>
              <c:numCache>
                <c:formatCode>0.0</c:formatCode>
                <c:ptCount val="8"/>
                <c:pt idx="0">
                  <c:v>11.0</c:v>
                </c:pt>
                <c:pt idx="1">
                  <c:v>12.82173255813954</c:v>
                </c:pt>
                <c:pt idx="2">
                  <c:v>15.36555333333333</c:v>
                </c:pt>
                <c:pt idx="3">
                  <c:v>16.26429333333326</c:v>
                </c:pt>
                <c:pt idx="4">
                  <c:v>15.56338028169014</c:v>
                </c:pt>
                <c:pt idx="5">
                  <c:v>15.57134986225895</c:v>
                </c:pt>
                <c:pt idx="6">
                  <c:v>14.2</c:v>
                </c:pt>
              </c:numCache>
            </c:numRef>
          </c:yVal>
          <c:smooth val="1"/>
        </c:ser>
        <c:ser>
          <c:idx val="4"/>
          <c:order val="4"/>
          <c:tx>
            <c:v>term low</c:v>
          </c:tx>
          <c:spPr>
            <a:ln w="38100">
              <a:solidFill>
                <a:schemeClr val="bg1">
                  <a:lumMod val="65000"/>
                </a:schemeClr>
              </a:solidFill>
              <a:prstDash val="sysDash"/>
            </a:ln>
          </c:spPr>
          <c:marker>
            <c:symbol val="none"/>
          </c:marker>
          <c:xVal>
            <c:numRef>
              <c:f>'Table P'!$O$4:$O$11</c:f>
              <c:numCache>
                <c:formatCode>General</c:formatCode>
                <c:ptCount val="8"/>
                <c:pt idx="0">
                  <c:v>0.25</c:v>
                </c:pt>
                <c:pt idx="1">
                  <c:v>1.0</c:v>
                </c:pt>
                <c:pt idx="2">
                  <c:v>1.5</c:v>
                </c:pt>
                <c:pt idx="3">
                  <c:v>3.5</c:v>
                </c:pt>
                <c:pt idx="4">
                  <c:v>5.5</c:v>
                </c:pt>
                <c:pt idx="5">
                  <c:v>8.0</c:v>
                </c:pt>
                <c:pt idx="6">
                  <c:v>12.0</c:v>
                </c:pt>
              </c:numCache>
            </c:numRef>
          </c:xVal>
          <c:yVal>
            <c:numRef>
              <c:f>'Table P'!$Q$4:$Q$11</c:f>
              <c:numCache>
                <c:formatCode>0.0</c:formatCode>
                <c:ptCount val="8"/>
                <c:pt idx="0">
                  <c:v>5.23880012497397</c:v>
                </c:pt>
                <c:pt idx="1">
                  <c:v>5.805197607555413</c:v>
                </c:pt>
                <c:pt idx="2">
                  <c:v>6.467470408351046</c:v>
                </c:pt>
                <c:pt idx="3">
                  <c:v>10.4306308823511</c:v>
                </c:pt>
                <c:pt idx="4">
                  <c:v>8.921053663668863</c:v>
                </c:pt>
                <c:pt idx="5">
                  <c:v>8.980181948230808</c:v>
                </c:pt>
                <c:pt idx="6">
                  <c:v>7.536</c:v>
                </c:pt>
              </c:numCache>
            </c:numRef>
          </c:yVal>
          <c:smooth val="1"/>
        </c:ser>
        <c:ser>
          <c:idx val="5"/>
          <c:order val="5"/>
          <c:tx>
            <c:v>term hi</c:v>
          </c:tx>
          <c:spPr>
            <a:ln w="38100">
              <a:solidFill>
                <a:srgbClr val="C0C0C0"/>
              </a:solidFill>
              <a:prstDash val="sysDash"/>
            </a:ln>
          </c:spPr>
          <c:marker>
            <c:symbol val="none"/>
          </c:marker>
          <c:xVal>
            <c:numRef>
              <c:f>'Table P'!$O$4:$O$11</c:f>
              <c:numCache>
                <c:formatCode>General</c:formatCode>
                <c:ptCount val="8"/>
                <c:pt idx="0">
                  <c:v>0.25</c:v>
                </c:pt>
                <c:pt idx="1">
                  <c:v>1.0</c:v>
                </c:pt>
                <c:pt idx="2">
                  <c:v>1.5</c:v>
                </c:pt>
                <c:pt idx="3">
                  <c:v>3.5</c:v>
                </c:pt>
                <c:pt idx="4">
                  <c:v>5.5</c:v>
                </c:pt>
                <c:pt idx="5">
                  <c:v>8.0</c:v>
                </c:pt>
                <c:pt idx="6">
                  <c:v>12.0</c:v>
                </c:pt>
              </c:numCache>
            </c:numRef>
          </c:xVal>
          <c:yVal>
            <c:numRef>
              <c:f>'Table P'!$R$4:$R$11</c:f>
              <c:numCache>
                <c:formatCode>0.0</c:formatCode>
                <c:ptCount val="8"/>
                <c:pt idx="0">
                  <c:v>16.76119987502602</c:v>
                </c:pt>
                <c:pt idx="1">
                  <c:v>19.83826750872365</c:v>
                </c:pt>
                <c:pt idx="2">
                  <c:v>24.26363625831558</c:v>
                </c:pt>
                <c:pt idx="3">
                  <c:v>22.09795578431556</c:v>
                </c:pt>
                <c:pt idx="4">
                  <c:v>22.20570689971142</c:v>
                </c:pt>
                <c:pt idx="5">
                  <c:v>22.1625177762871</c:v>
                </c:pt>
                <c:pt idx="6">
                  <c:v>20.864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93643752"/>
        <c:axId val="1793166696"/>
      </c:scatterChart>
      <c:valAx>
        <c:axId val="1793643752"/>
        <c:scaling>
          <c:orientation val="minMax"/>
          <c:max val="12.0"/>
          <c:min val="0.0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n-US"/>
                  <a:t>Weeks postnatal age</a:t>
                </a:r>
              </a:p>
            </c:rich>
          </c:tx>
          <c:layout/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80808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793166696"/>
        <c:crosses val="autoZero"/>
        <c:crossBetween val="midCat"/>
      </c:valAx>
      <c:valAx>
        <c:axId val="1793166696"/>
        <c:scaling>
          <c:orientation val="minMax"/>
          <c:max val="32.0"/>
          <c:min val="0.0"/>
        </c:scaling>
        <c:delete val="0"/>
        <c:axPos val="l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n-US"/>
                  <a:t>Milligrams per 100 mL</a:t>
                </a:r>
              </a:p>
            </c:rich>
          </c:tx>
          <c:layout/>
          <c:overlay val="0"/>
          <c:spPr>
            <a:noFill/>
            <a:ln w="25400">
              <a:noFill/>
            </a:ln>
          </c:spPr>
        </c:title>
        <c:numFmt formatCode="0" sourceLinked="0"/>
        <c:majorTickMark val="out"/>
        <c:minorTickMark val="none"/>
        <c:tickLblPos val="nextTo"/>
        <c:spPr>
          <a:ln w="3175">
            <a:solidFill>
              <a:srgbClr val="80808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793643752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3175">
      <a:solidFill>
        <a:srgbClr val="80808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21</Characters>
  <Application>Microsoft Macintosh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Tanis Fenton</dc:creator>
  <cp:keywords/>
  <dc:description/>
  <cp:lastModifiedBy>Tanis Fenton</cp:lastModifiedBy>
  <cp:revision>1</cp:revision>
  <dcterms:created xsi:type="dcterms:W3CDTF">2014-04-30T18:40:00Z</dcterms:created>
  <dcterms:modified xsi:type="dcterms:W3CDTF">2014-04-30T18:41:00Z</dcterms:modified>
</cp:coreProperties>
</file>