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0E0" w:rsidRPr="000260E0" w:rsidRDefault="000260E0" w:rsidP="000260E0">
      <w:pPr>
        <w:rPr>
          <w:b/>
          <w:szCs w:val="24"/>
          <w:u w:val="single"/>
        </w:rPr>
      </w:pPr>
      <w:r w:rsidRPr="000260E0">
        <w:rPr>
          <w:b/>
          <w:szCs w:val="24"/>
          <w:u w:val="single"/>
        </w:rPr>
        <w:t>Additional File 1: A Priori Power Calculation</w:t>
      </w:r>
    </w:p>
    <w:p w:rsidR="000260E0" w:rsidRDefault="000260E0" w:rsidP="000260E0">
      <w:pPr>
        <w:ind w:firstLine="720"/>
        <w:rPr>
          <w:szCs w:val="24"/>
        </w:rPr>
      </w:pPr>
    </w:p>
    <w:p w:rsidR="000260E0" w:rsidRPr="000A278C" w:rsidRDefault="000260E0" w:rsidP="000260E0">
      <w:pPr>
        <w:ind w:firstLine="720"/>
        <w:rPr>
          <w:szCs w:val="24"/>
        </w:rPr>
      </w:pPr>
      <w:r w:rsidRPr="000A278C">
        <w:rPr>
          <w:szCs w:val="24"/>
        </w:rPr>
        <w:t>To determine whether the MLM analyses were sufficiently powered, an a priori power analysis was computed to calculate the required sample size to establish a power level of .80. The current study sample size was then compared to the a priori sample size to determine whether power at a .80 level had been achieved. There were two steps involved in estimating the a priori sample size required for the study. First, an a prior</w:t>
      </w:r>
      <w:r>
        <w:rPr>
          <w:szCs w:val="24"/>
        </w:rPr>
        <w:t>i</w:t>
      </w:r>
      <w:r w:rsidRPr="000A278C">
        <w:rPr>
          <w:szCs w:val="24"/>
        </w:rPr>
        <w:t xml:space="preserve"> power analysis for an analysis of covariance (ANCOVA) was computed using G*Power 3.1.3 (</w:t>
      </w:r>
      <w:r>
        <w:rPr>
          <w:szCs w:val="24"/>
        </w:rPr>
        <w:t xml:space="preserve">Franz, </w:t>
      </w:r>
      <w:proofErr w:type="spellStart"/>
      <w:r>
        <w:rPr>
          <w:szCs w:val="24"/>
        </w:rPr>
        <w:t>Erdfelder</w:t>
      </w:r>
      <w:proofErr w:type="spellEnd"/>
      <w:r>
        <w:rPr>
          <w:szCs w:val="24"/>
        </w:rPr>
        <w:t xml:space="preserve">, Buchner, &amp; Lang, 2009) as there are currently no tests and/or statistical programmes available to directly estimate a priori sample size for MLM analyses. </w:t>
      </w:r>
      <w:r w:rsidRPr="000A278C">
        <w:rPr>
          <w:szCs w:val="24"/>
        </w:rPr>
        <w:t xml:space="preserve">This sample size was then multiplied by the </w:t>
      </w:r>
      <w:r w:rsidRPr="000A278C">
        <w:rPr>
          <w:i/>
          <w:szCs w:val="24"/>
        </w:rPr>
        <w:t xml:space="preserve">design effect formula </w:t>
      </w:r>
      <w:r w:rsidRPr="000A278C">
        <w:rPr>
          <w:szCs w:val="24"/>
        </w:rPr>
        <w:t xml:space="preserve">(Kish, 1965) which is an adjustment that is made for </w:t>
      </w:r>
      <w:r>
        <w:rPr>
          <w:szCs w:val="24"/>
        </w:rPr>
        <w:t>MLM analyses</w:t>
      </w:r>
      <w:r w:rsidRPr="000A278C">
        <w:rPr>
          <w:szCs w:val="24"/>
        </w:rPr>
        <w:t xml:space="preserve"> (i.e., </w:t>
      </w:r>
      <w:r>
        <w:rPr>
          <w:szCs w:val="24"/>
        </w:rPr>
        <w:t>analysis using clustered data</w:t>
      </w:r>
      <w:r w:rsidRPr="000A278C">
        <w:rPr>
          <w:szCs w:val="24"/>
        </w:rPr>
        <w:t xml:space="preserve">). </w:t>
      </w:r>
    </w:p>
    <w:p w:rsidR="000260E0" w:rsidRPr="000A278C" w:rsidRDefault="000260E0" w:rsidP="000260E0">
      <w:pPr>
        <w:ind w:firstLine="720"/>
        <w:rPr>
          <w:szCs w:val="24"/>
        </w:rPr>
      </w:pPr>
    </w:p>
    <w:p w:rsidR="000260E0" w:rsidRDefault="000260E0" w:rsidP="000260E0">
      <w:pPr>
        <w:ind w:firstLine="720"/>
        <w:rPr>
          <w:szCs w:val="24"/>
        </w:rPr>
      </w:pPr>
      <w:r w:rsidRPr="000A278C">
        <w:rPr>
          <w:szCs w:val="24"/>
        </w:rPr>
        <w:t xml:space="preserve">The power analysis was computed based on MLM Model 1 as it is the primary model of interest in the study, and for DASS-D as the outcome as it is the primary outcome variable. The following parameters were used in the estimation of the a priori sample size required for an ANCOVA; </w:t>
      </w:r>
      <w:r w:rsidRPr="000A278C">
        <w:rPr>
          <w:i/>
          <w:szCs w:val="24"/>
        </w:rPr>
        <w:t>α</w:t>
      </w:r>
      <w:r w:rsidRPr="000A278C">
        <w:rPr>
          <w:szCs w:val="24"/>
        </w:rPr>
        <w:t xml:space="preserve"> = .05, power = .80, number of groups = 2 (Intervention and Waitlist), number of covariates = 1 (Time), and effect size = 1.12 as reported in a meta-analysis of CBT for depression in older adults by </w:t>
      </w:r>
      <w:proofErr w:type="spellStart"/>
      <w:r w:rsidRPr="000A278C">
        <w:rPr>
          <w:szCs w:val="24"/>
        </w:rPr>
        <w:t>Pinquart</w:t>
      </w:r>
      <w:proofErr w:type="spellEnd"/>
      <w:r w:rsidRPr="000A278C">
        <w:rPr>
          <w:szCs w:val="24"/>
        </w:rPr>
        <w:t xml:space="preserve"> and colleagues (2007) at </w:t>
      </w:r>
      <w:proofErr w:type="spellStart"/>
      <w:r w:rsidRPr="000A278C">
        <w:rPr>
          <w:szCs w:val="24"/>
        </w:rPr>
        <w:t>posttreatment</w:t>
      </w:r>
      <w:proofErr w:type="spellEnd"/>
      <w:r w:rsidRPr="000A278C">
        <w:rPr>
          <w:szCs w:val="24"/>
        </w:rPr>
        <w:t xml:space="preserve"> compared with a waitlist control. The required sample size was </w:t>
      </w:r>
      <w:r w:rsidRPr="000A278C">
        <w:rPr>
          <w:i/>
          <w:szCs w:val="24"/>
        </w:rPr>
        <w:t xml:space="preserve">N </w:t>
      </w:r>
      <w:r w:rsidRPr="000A278C">
        <w:rPr>
          <w:szCs w:val="24"/>
        </w:rPr>
        <w:t xml:space="preserve">= </w:t>
      </w:r>
      <w:r>
        <w:rPr>
          <w:szCs w:val="24"/>
        </w:rPr>
        <w:t>21</w:t>
      </w:r>
      <w:r w:rsidRPr="000A278C">
        <w:rPr>
          <w:szCs w:val="24"/>
        </w:rPr>
        <w:t xml:space="preserve">. </w:t>
      </w:r>
    </w:p>
    <w:p w:rsidR="000260E0" w:rsidRPr="000A278C" w:rsidRDefault="000260E0" w:rsidP="000260E0">
      <w:pPr>
        <w:ind w:firstLine="720"/>
        <w:rPr>
          <w:szCs w:val="24"/>
        </w:rPr>
      </w:pPr>
    </w:p>
    <w:p w:rsidR="000260E0" w:rsidRPr="000A278C" w:rsidRDefault="000260E0" w:rsidP="000260E0">
      <w:pPr>
        <w:ind w:firstLine="720"/>
        <w:rPr>
          <w:szCs w:val="24"/>
        </w:rPr>
      </w:pPr>
      <w:r w:rsidRPr="000A278C">
        <w:rPr>
          <w:szCs w:val="24"/>
        </w:rPr>
        <w:t>The design effect (</w:t>
      </w:r>
      <w:proofErr w:type="spellStart"/>
      <w:r w:rsidRPr="000A278C">
        <w:rPr>
          <w:i/>
          <w:sz w:val="28"/>
          <w:szCs w:val="24"/>
        </w:rPr>
        <w:t>D</w:t>
      </w:r>
      <w:r w:rsidRPr="000A278C">
        <w:rPr>
          <w:i/>
          <w:sz w:val="28"/>
          <w:szCs w:val="24"/>
          <w:vertAlign w:val="subscript"/>
        </w:rPr>
        <w:t>eff</w:t>
      </w:r>
      <w:proofErr w:type="spellEnd"/>
      <w:r w:rsidRPr="000A278C">
        <w:rPr>
          <w:sz w:val="28"/>
          <w:szCs w:val="24"/>
        </w:rPr>
        <w:t xml:space="preserve">) </w:t>
      </w:r>
      <w:r w:rsidRPr="000A278C">
        <w:rPr>
          <w:szCs w:val="24"/>
        </w:rPr>
        <w:t>was then computed using the following formula:</w:t>
      </w:r>
    </w:p>
    <w:p w:rsidR="000260E0" w:rsidRPr="00D84137" w:rsidRDefault="000260E0" w:rsidP="000260E0">
      <w:pPr>
        <w:tabs>
          <w:tab w:val="left" w:pos="3402"/>
        </w:tabs>
        <w:rPr>
          <w:szCs w:val="24"/>
        </w:rPr>
      </w:pPr>
    </w:p>
    <w:p w:rsidR="000260E0" w:rsidRPr="000A278C" w:rsidRDefault="000260E0" w:rsidP="000260E0">
      <w:pPr>
        <w:jc w:val="center"/>
        <w:rPr>
          <w:szCs w:val="24"/>
        </w:rPr>
      </w:pPr>
      <w:proofErr w:type="spellStart"/>
      <w:r w:rsidRPr="000A278C">
        <w:rPr>
          <w:i/>
          <w:sz w:val="28"/>
          <w:szCs w:val="24"/>
        </w:rPr>
        <w:t>D</w:t>
      </w:r>
      <w:r w:rsidRPr="000A278C">
        <w:rPr>
          <w:i/>
          <w:sz w:val="28"/>
          <w:szCs w:val="24"/>
          <w:vertAlign w:val="subscript"/>
        </w:rPr>
        <w:t>eff</w:t>
      </w:r>
      <w:proofErr w:type="spellEnd"/>
      <w:r w:rsidRPr="000A278C">
        <w:rPr>
          <w:sz w:val="28"/>
          <w:szCs w:val="24"/>
        </w:rPr>
        <w:t xml:space="preserve"> = 1 + </w:t>
      </w:r>
      <w:proofErr w:type="gramStart"/>
      <w:r w:rsidRPr="000A278C">
        <w:rPr>
          <w:i/>
          <w:sz w:val="28"/>
          <w:szCs w:val="24"/>
        </w:rPr>
        <w:t>p</w:t>
      </w:r>
      <w:r w:rsidRPr="000A278C">
        <w:rPr>
          <w:sz w:val="28"/>
          <w:szCs w:val="24"/>
        </w:rPr>
        <w:t>(</w:t>
      </w:r>
      <w:proofErr w:type="gramEnd"/>
      <w:r w:rsidRPr="000A278C">
        <w:rPr>
          <w:i/>
          <w:sz w:val="28"/>
          <w:szCs w:val="24"/>
        </w:rPr>
        <w:t>n</w:t>
      </w:r>
      <w:r w:rsidRPr="000A278C">
        <w:rPr>
          <w:sz w:val="28"/>
          <w:szCs w:val="24"/>
        </w:rPr>
        <w:t xml:space="preserve"> – 1)</w:t>
      </w:r>
      <w:r w:rsidRPr="000A278C">
        <w:rPr>
          <w:sz w:val="28"/>
          <w:szCs w:val="24"/>
        </w:rPr>
        <w:br/>
      </w:r>
    </w:p>
    <w:p w:rsidR="000260E0" w:rsidRPr="000A278C" w:rsidRDefault="000260E0" w:rsidP="000260E0">
      <w:pPr>
        <w:ind w:firstLine="720"/>
        <w:rPr>
          <w:szCs w:val="24"/>
        </w:rPr>
      </w:pPr>
      <w:r w:rsidRPr="000A278C">
        <w:rPr>
          <w:szCs w:val="24"/>
        </w:rPr>
        <w:tab/>
      </w:r>
      <w:r w:rsidRPr="000A278C">
        <w:rPr>
          <w:szCs w:val="24"/>
        </w:rPr>
        <w:tab/>
      </w:r>
      <w:r w:rsidRPr="000A278C">
        <w:rPr>
          <w:szCs w:val="24"/>
        </w:rPr>
        <w:tab/>
      </w:r>
      <w:proofErr w:type="gramStart"/>
      <w:r w:rsidRPr="000A278C">
        <w:rPr>
          <w:szCs w:val="24"/>
        </w:rPr>
        <w:t>where</w:t>
      </w:r>
      <w:proofErr w:type="gramEnd"/>
      <w:r w:rsidRPr="000A278C">
        <w:rPr>
          <w:szCs w:val="24"/>
        </w:rPr>
        <w:t>:</w:t>
      </w:r>
      <w:r w:rsidRPr="000A278C">
        <w:rPr>
          <w:szCs w:val="24"/>
        </w:rPr>
        <w:tab/>
      </w:r>
      <w:r w:rsidRPr="000A278C">
        <w:rPr>
          <w:szCs w:val="24"/>
        </w:rPr>
        <w:tab/>
      </w:r>
      <w:r w:rsidRPr="000A278C">
        <w:rPr>
          <w:i/>
          <w:szCs w:val="24"/>
        </w:rPr>
        <w:t>n</w:t>
      </w:r>
      <w:r w:rsidRPr="000A278C">
        <w:rPr>
          <w:szCs w:val="24"/>
        </w:rPr>
        <w:t xml:space="preserve"> = participants per group</w:t>
      </w:r>
    </w:p>
    <w:p w:rsidR="000260E0" w:rsidRPr="000A278C" w:rsidRDefault="000260E0" w:rsidP="000260E0">
      <w:pPr>
        <w:ind w:firstLine="720"/>
        <w:rPr>
          <w:szCs w:val="24"/>
        </w:rPr>
      </w:pPr>
      <w:r w:rsidRPr="000A278C">
        <w:rPr>
          <w:szCs w:val="24"/>
        </w:rPr>
        <w:tab/>
      </w:r>
      <w:r w:rsidRPr="000A278C">
        <w:rPr>
          <w:szCs w:val="24"/>
        </w:rPr>
        <w:tab/>
      </w:r>
      <w:r w:rsidRPr="000A278C">
        <w:rPr>
          <w:szCs w:val="24"/>
        </w:rPr>
        <w:tab/>
      </w:r>
      <w:r w:rsidRPr="000A278C">
        <w:rPr>
          <w:szCs w:val="24"/>
        </w:rPr>
        <w:tab/>
      </w:r>
      <w:r w:rsidRPr="000A278C">
        <w:rPr>
          <w:szCs w:val="24"/>
        </w:rPr>
        <w:tab/>
      </w:r>
      <w:r w:rsidRPr="000A278C">
        <w:rPr>
          <w:i/>
          <w:szCs w:val="24"/>
        </w:rPr>
        <w:t>p</w:t>
      </w:r>
      <w:r w:rsidRPr="000A278C">
        <w:rPr>
          <w:szCs w:val="24"/>
        </w:rPr>
        <w:t xml:space="preserve"> = </w:t>
      </w:r>
      <w:proofErr w:type="spellStart"/>
      <w:r w:rsidRPr="000A278C">
        <w:rPr>
          <w:szCs w:val="24"/>
        </w:rPr>
        <w:t>intracluster</w:t>
      </w:r>
      <w:proofErr w:type="spellEnd"/>
      <w:r w:rsidRPr="000A278C">
        <w:rPr>
          <w:szCs w:val="24"/>
        </w:rPr>
        <w:t xml:space="preserve"> correlation </w:t>
      </w:r>
      <w:r w:rsidRPr="000A278C">
        <w:rPr>
          <w:szCs w:val="24"/>
        </w:rPr>
        <w:br/>
      </w:r>
      <w:r w:rsidRPr="000A278C">
        <w:rPr>
          <w:szCs w:val="24"/>
        </w:rPr>
        <w:tab/>
      </w:r>
      <w:r w:rsidRPr="000A278C">
        <w:rPr>
          <w:szCs w:val="24"/>
        </w:rPr>
        <w:tab/>
      </w:r>
      <w:r w:rsidRPr="000A278C">
        <w:rPr>
          <w:szCs w:val="24"/>
        </w:rPr>
        <w:tab/>
      </w:r>
      <w:r w:rsidRPr="000A278C">
        <w:rPr>
          <w:szCs w:val="24"/>
        </w:rPr>
        <w:tab/>
      </w:r>
      <w:r w:rsidRPr="000A278C">
        <w:rPr>
          <w:szCs w:val="24"/>
        </w:rPr>
        <w:tab/>
      </w:r>
      <w:r w:rsidRPr="000A278C">
        <w:rPr>
          <w:szCs w:val="24"/>
        </w:rPr>
        <w:tab/>
        <w:t xml:space="preserve">  =  </w:t>
      </w:r>
      <w:r w:rsidRPr="000A278C">
        <w:rPr>
          <w:position w:val="-24"/>
          <w:szCs w:val="24"/>
        </w:rPr>
        <w:object w:dxaOrig="30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9.9pt;height:30.6pt" o:ole="">
            <v:imagedata r:id="rId5" o:title=""/>
          </v:shape>
          <o:OLEObject Type="Embed" ProgID="Equation.3" ShapeID="_x0000_i1025" DrawAspect="Content" ObjectID="_1448272873" r:id="rId6"/>
        </w:object>
      </w:r>
    </w:p>
    <w:p w:rsidR="000260E0" w:rsidRPr="000A278C" w:rsidRDefault="000260E0" w:rsidP="000260E0">
      <w:pPr>
        <w:ind w:firstLine="720"/>
        <w:rPr>
          <w:szCs w:val="24"/>
        </w:rPr>
      </w:pPr>
    </w:p>
    <w:p w:rsidR="000260E0" w:rsidRPr="00421EBA" w:rsidRDefault="000260E0" w:rsidP="000260E0">
      <w:pPr>
        <w:ind w:firstLine="720"/>
        <w:rPr>
          <w:szCs w:val="24"/>
        </w:rPr>
      </w:pPr>
      <w:r w:rsidRPr="000A278C">
        <w:rPr>
          <w:szCs w:val="24"/>
        </w:rPr>
        <w:t xml:space="preserve">To calculate the </w:t>
      </w:r>
      <w:proofErr w:type="spellStart"/>
      <w:r w:rsidRPr="000A278C">
        <w:rPr>
          <w:szCs w:val="24"/>
        </w:rPr>
        <w:t>intracluster</w:t>
      </w:r>
      <w:proofErr w:type="spellEnd"/>
      <w:r w:rsidRPr="000A278C">
        <w:rPr>
          <w:szCs w:val="24"/>
        </w:rPr>
        <w:t xml:space="preserve"> correlation (ICC) for DASS-D, an unconditional means MLM model was run. The unconditional means model includes no fixed predictors and provides an estimate of the within-individuals and between-individuals variance which can </w:t>
      </w:r>
      <w:r w:rsidRPr="000A278C">
        <w:rPr>
          <w:szCs w:val="24"/>
        </w:rPr>
        <w:lastRenderedPageBreak/>
        <w:t xml:space="preserve">then be used to </w:t>
      </w:r>
      <w:r>
        <w:rPr>
          <w:szCs w:val="24"/>
        </w:rPr>
        <w:t>calculate the ICC</w:t>
      </w:r>
      <w:r w:rsidRPr="000A278C">
        <w:rPr>
          <w:szCs w:val="24"/>
        </w:rPr>
        <w:t xml:space="preserve">. For DASS-D, the between-individuals variance was estimated at </w:t>
      </w:r>
      <w:r>
        <w:rPr>
          <w:szCs w:val="24"/>
        </w:rPr>
        <w:t>10.39</w:t>
      </w:r>
      <w:r w:rsidRPr="000A278C">
        <w:rPr>
          <w:szCs w:val="24"/>
        </w:rPr>
        <w:t xml:space="preserve"> and the within-individuals variance was </w:t>
      </w:r>
      <w:r>
        <w:rPr>
          <w:szCs w:val="24"/>
        </w:rPr>
        <w:t>8.70</w:t>
      </w:r>
      <w:r w:rsidRPr="000A278C">
        <w:rPr>
          <w:szCs w:val="24"/>
        </w:rPr>
        <w:t xml:space="preserve"> (see Appendix </w:t>
      </w:r>
      <w:r>
        <w:rPr>
          <w:szCs w:val="24"/>
        </w:rPr>
        <w:t>A</w:t>
      </w:r>
      <w:r w:rsidRPr="000A278C">
        <w:rPr>
          <w:szCs w:val="24"/>
        </w:rPr>
        <w:t>). The ICC for DASS-D was therefore .5</w:t>
      </w:r>
      <w:r>
        <w:rPr>
          <w:szCs w:val="24"/>
        </w:rPr>
        <w:t>4</w:t>
      </w:r>
      <w:r w:rsidRPr="000A278C">
        <w:rPr>
          <w:szCs w:val="24"/>
        </w:rPr>
        <w:t xml:space="preserve">, indicating a high degree of dependency within the data (ICC = 0 indicates independent data) as well as justified the use of MLM. Substituting the ICC into the design effect formula, the design effect was </w:t>
      </w:r>
      <w:r>
        <w:rPr>
          <w:szCs w:val="24"/>
        </w:rPr>
        <w:t>equal to</w:t>
      </w:r>
      <w:r w:rsidRPr="000A278C">
        <w:rPr>
          <w:szCs w:val="24"/>
        </w:rPr>
        <w:t xml:space="preserve"> 4.</w:t>
      </w:r>
      <w:r>
        <w:rPr>
          <w:szCs w:val="24"/>
        </w:rPr>
        <w:t>24</w:t>
      </w:r>
      <w:r w:rsidRPr="000A278C">
        <w:rPr>
          <w:szCs w:val="24"/>
        </w:rPr>
        <w:t xml:space="preserve">. This was multiplied by the a priori sample size for an ANCOVA </w:t>
      </w:r>
      <w:r>
        <w:rPr>
          <w:szCs w:val="24"/>
        </w:rPr>
        <w:t>(</w:t>
      </w:r>
      <w:r w:rsidRPr="000A278C">
        <w:rPr>
          <w:i/>
          <w:szCs w:val="24"/>
        </w:rPr>
        <w:t xml:space="preserve">N </w:t>
      </w:r>
      <w:r w:rsidRPr="000A278C">
        <w:rPr>
          <w:szCs w:val="24"/>
        </w:rPr>
        <w:t xml:space="preserve">= </w:t>
      </w:r>
      <w:r>
        <w:rPr>
          <w:szCs w:val="24"/>
        </w:rPr>
        <w:t>21)</w:t>
      </w:r>
      <w:r w:rsidRPr="000A278C">
        <w:rPr>
          <w:szCs w:val="24"/>
        </w:rPr>
        <w:t xml:space="preserve"> resulting in a total required sample size of </w:t>
      </w:r>
      <w:r>
        <w:rPr>
          <w:szCs w:val="24"/>
        </w:rPr>
        <w:t>89</w:t>
      </w:r>
      <w:r w:rsidRPr="000A278C">
        <w:rPr>
          <w:szCs w:val="24"/>
        </w:rPr>
        <w:t xml:space="preserve"> participants to sufficiently power a MLM analysis at a .80 level.</w:t>
      </w:r>
    </w:p>
    <w:p w:rsidR="00647E8F" w:rsidRDefault="000260E0">
      <w:bookmarkStart w:id="0" w:name="_GoBack"/>
      <w:bookmarkEnd w:id="0"/>
    </w:p>
    <w:sectPr w:rsidR="00647E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0E0"/>
    <w:rsid w:val="000260E0"/>
    <w:rsid w:val="00A00DB2"/>
    <w:rsid w:val="00E5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0E0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0E0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Curtin University</Company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Lakkhina Troeung</dc:creator>
  <cp:lastModifiedBy>Lakkhina Troeung</cp:lastModifiedBy>
  <cp:revision>1</cp:revision>
  <dcterms:created xsi:type="dcterms:W3CDTF">2013-12-11T05:13:00Z</dcterms:created>
  <dcterms:modified xsi:type="dcterms:W3CDTF">2013-12-11T05:14:00Z</dcterms:modified>
</cp:coreProperties>
</file>