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0E0" w:rsidRPr="000260E0" w:rsidRDefault="000260E0" w:rsidP="000260E0">
      <w:pPr>
        <w:rPr>
          <w:b/>
          <w:szCs w:val="24"/>
          <w:u w:val="single"/>
        </w:rPr>
      </w:pPr>
      <w:r w:rsidRPr="000260E0">
        <w:rPr>
          <w:b/>
          <w:szCs w:val="24"/>
          <w:u w:val="single"/>
        </w:rPr>
        <w:t xml:space="preserve">Additional File </w:t>
      </w:r>
      <w:r w:rsidR="002A1C41">
        <w:rPr>
          <w:b/>
          <w:szCs w:val="24"/>
          <w:u w:val="single"/>
        </w:rPr>
        <w:t>2</w:t>
      </w:r>
      <w:r w:rsidRPr="000260E0">
        <w:rPr>
          <w:b/>
          <w:szCs w:val="24"/>
          <w:u w:val="single"/>
        </w:rPr>
        <w:t xml:space="preserve">: </w:t>
      </w:r>
      <w:r w:rsidR="002A1C41">
        <w:rPr>
          <w:b/>
          <w:szCs w:val="24"/>
          <w:u w:val="single"/>
        </w:rPr>
        <w:t>Clinically Significant Change Analyses</w:t>
      </w:r>
    </w:p>
    <w:p w:rsidR="000260E0" w:rsidRDefault="000260E0" w:rsidP="000260E0">
      <w:pPr>
        <w:ind w:firstLine="720"/>
        <w:rPr>
          <w:szCs w:val="24"/>
        </w:rPr>
      </w:pPr>
    </w:p>
    <w:p w:rsidR="002A1C41" w:rsidRDefault="002A1C41" w:rsidP="002A1C41">
      <w:pPr>
        <w:contextualSpacing/>
        <w:rPr>
          <w:szCs w:val="24"/>
        </w:rPr>
      </w:pPr>
      <w:r w:rsidRPr="000A278C">
        <w:rPr>
          <w:szCs w:val="24"/>
        </w:rPr>
        <w:t xml:space="preserve">Clinically significant and reliable change calculations were computed to assess the clinical relevance of any change that occurred over the course of treatment. The methodology outlined by Jacobson and </w:t>
      </w:r>
      <w:proofErr w:type="spellStart"/>
      <w:r w:rsidRPr="000A278C">
        <w:rPr>
          <w:szCs w:val="24"/>
        </w:rPr>
        <w:t>Truax</w:t>
      </w:r>
      <w:proofErr w:type="spellEnd"/>
      <w:r w:rsidRPr="000A278C">
        <w:rPr>
          <w:szCs w:val="24"/>
        </w:rPr>
        <w:t xml:space="preserve"> (1991) was used. According to the authors, treatment efficacy can be indexed by the degree to which participants return to normal functioning subsequent to treatment. Four possible outcomes are proposed; Recovered, Improved but not recovered, Unchanged and Deteriorated. Treatment efficacy is assessed by the proportion of individuals in each group following treatment, with effective treatments deemed those which result in a large proportion of ‘recovered’ patients. Determining which group an individual belongs depends on two factors; (</w:t>
      </w:r>
      <w:proofErr w:type="spellStart"/>
      <w:r w:rsidRPr="000A278C">
        <w:rPr>
          <w:szCs w:val="24"/>
        </w:rPr>
        <w:t>i</w:t>
      </w:r>
      <w:proofErr w:type="spellEnd"/>
      <w:r w:rsidRPr="000A278C">
        <w:rPr>
          <w:szCs w:val="24"/>
        </w:rPr>
        <w:t>) the clinical significance of change and, (ii) the magnitude and reliability of any change as assessed by the Reliable Change Index.</w:t>
      </w:r>
    </w:p>
    <w:p w:rsidR="002A1C41" w:rsidRPr="000A278C" w:rsidRDefault="002A1C41" w:rsidP="002A1C41">
      <w:pPr>
        <w:ind w:firstLine="720"/>
        <w:contextualSpacing/>
        <w:rPr>
          <w:szCs w:val="24"/>
        </w:rPr>
      </w:pPr>
    </w:p>
    <w:p w:rsidR="002A1C41" w:rsidRDefault="002A1C41" w:rsidP="002A1C41">
      <w:pPr>
        <w:contextualSpacing/>
        <w:rPr>
          <w:szCs w:val="24"/>
        </w:rPr>
      </w:pPr>
      <w:bookmarkStart w:id="0" w:name="_Toc343335905"/>
      <w:bookmarkStart w:id="1" w:name="_Toc343514437"/>
      <w:bookmarkStart w:id="2" w:name="_Toc343514984"/>
      <w:bookmarkStart w:id="3" w:name="_Toc343516607"/>
      <w:bookmarkStart w:id="4" w:name="_Toc349480865"/>
      <w:bookmarkStart w:id="5" w:name="_Toc353881743"/>
      <w:bookmarkStart w:id="6" w:name="_Toc355518548"/>
      <w:proofErr w:type="gramStart"/>
      <w:r w:rsidRPr="00E949DC">
        <w:rPr>
          <w:rStyle w:val="Heading4Char"/>
        </w:rPr>
        <w:t>Clinically significant change</w:t>
      </w:r>
      <w:bookmarkEnd w:id="0"/>
      <w:bookmarkEnd w:id="1"/>
      <w:bookmarkEnd w:id="2"/>
      <w:bookmarkEnd w:id="3"/>
      <w:r w:rsidRPr="00E949DC">
        <w:rPr>
          <w:rStyle w:val="Heading4Char"/>
        </w:rPr>
        <w:t>.</w:t>
      </w:r>
      <w:bookmarkEnd w:id="4"/>
      <w:bookmarkEnd w:id="5"/>
      <w:bookmarkEnd w:id="6"/>
      <w:proofErr w:type="gramEnd"/>
      <w:r w:rsidRPr="000A278C">
        <w:rPr>
          <w:b/>
          <w:i/>
          <w:szCs w:val="24"/>
        </w:rPr>
        <w:t xml:space="preserve"> </w:t>
      </w:r>
      <w:r w:rsidRPr="000A278C">
        <w:rPr>
          <w:szCs w:val="24"/>
        </w:rPr>
        <w:t xml:space="preserve">Clinically significant change is </w:t>
      </w:r>
      <w:r>
        <w:rPr>
          <w:szCs w:val="24"/>
        </w:rPr>
        <w:t>proposed</w:t>
      </w:r>
      <w:r w:rsidRPr="000A278C">
        <w:rPr>
          <w:szCs w:val="24"/>
        </w:rPr>
        <w:t xml:space="preserve"> to </w:t>
      </w:r>
      <w:r>
        <w:rPr>
          <w:szCs w:val="24"/>
        </w:rPr>
        <w:t>occur</w:t>
      </w:r>
      <w:r w:rsidRPr="000A278C">
        <w:rPr>
          <w:szCs w:val="24"/>
        </w:rPr>
        <w:t xml:space="preserve"> when participants belonging to a clinical population at the beginning of treatment are no longer part of that population at </w:t>
      </w:r>
      <w:proofErr w:type="spellStart"/>
      <w:r w:rsidRPr="000A278C">
        <w:rPr>
          <w:szCs w:val="24"/>
        </w:rPr>
        <w:t>posttreatment</w:t>
      </w:r>
      <w:proofErr w:type="spellEnd"/>
      <w:r w:rsidRPr="000A278C">
        <w:rPr>
          <w:szCs w:val="24"/>
        </w:rPr>
        <w:t xml:space="preserve"> and follow-up(s). Jacobson and </w:t>
      </w:r>
      <w:proofErr w:type="spellStart"/>
      <w:r w:rsidRPr="000A278C">
        <w:rPr>
          <w:szCs w:val="24"/>
        </w:rPr>
        <w:t>Truax</w:t>
      </w:r>
      <w:proofErr w:type="spellEnd"/>
      <w:r w:rsidRPr="000A278C">
        <w:rPr>
          <w:szCs w:val="24"/>
        </w:rPr>
        <w:t xml:space="preserve"> (1991) specify three methods in which this may be assessed depending on the availability of data such as clinical and general population norms (see original article for details). Following the authors’ recommendations, Method C was used to assess clinically significant change in the study as it is the least arbitrary and all the required norms are available for the DASS-21.</w:t>
      </w:r>
    </w:p>
    <w:p w:rsidR="002A1C41" w:rsidRPr="000A278C" w:rsidRDefault="002A1C41" w:rsidP="002A1C41">
      <w:pPr>
        <w:ind w:firstLine="720"/>
        <w:contextualSpacing/>
        <w:rPr>
          <w:szCs w:val="24"/>
        </w:rPr>
      </w:pPr>
    </w:p>
    <w:p w:rsidR="002A1C41" w:rsidRPr="000A278C" w:rsidRDefault="002A1C41" w:rsidP="002A1C41">
      <w:pPr>
        <w:contextualSpacing/>
        <w:rPr>
          <w:szCs w:val="24"/>
        </w:rPr>
      </w:pPr>
      <w:r w:rsidRPr="000A278C">
        <w:rPr>
          <w:szCs w:val="24"/>
        </w:rPr>
        <w:t xml:space="preserve"> Method C posits that in order for clinically significant change to have occurred, participants’ level of functioning subsequent to therapy must place them closer to the mean of the general population than the mean of clinical population. The midpoint between the general population mean and clinical population mean is calculated for each outcome and used as a cut-off against which participants’ </w:t>
      </w:r>
      <w:proofErr w:type="spellStart"/>
      <w:r w:rsidRPr="000A278C">
        <w:rPr>
          <w:szCs w:val="24"/>
        </w:rPr>
        <w:t>posttreatment</w:t>
      </w:r>
      <w:proofErr w:type="spellEnd"/>
      <w:r w:rsidRPr="000A278C">
        <w:rPr>
          <w:szCs w:val="24"/>
        </w:rPr>
        <w:t xml:space="preserve"> and follow-up scores are compared. Participants whose scores exceed this cut-off are considered to have changed to a clinically significant degree.</w:t>
      </w:r>
    </w:p>
    <w:p w:rsidR="002A1C41" w:rsidRPr="000A278C" w:rsidRDefault="002A1C41" w:rsidP="002A1C41">
      <w:pPr>
        <w:contextualSpacing/>
        <w:rPr>
          <w:szCs w:val="24"/>
        </w:rPr>
      </w:pPr>
    </w:p>
    <w:p w:rsidR="002A1C41" w:rsidRPr="000A278C" w:rsidRDefault="002A1C41" w:rsidP="002A1C41">
      <w:pPr>
        <w:contextualSpacing/>
        <w:rPr>
          <w:szCs w:val="24"/>
        </w:rPr>
      </w:pPr>
      <w:r w:rsidRPr="000A278C">
        <w:rPr>
          <w:szCs w:val="24"/>
        </w:rPr>
        <w:t>The following formula was used to calculate the cut-off for clinically significant change:</w:t>
      </w:r>
    </w:p>
    <w:p w:rsidR="002A1C41" w:rsidRDefault="002A1C41" w:rsidP="002A1C41">
      <w:pPr>
        <w:contextualSpacing/>
        <w:rPr>
          <w:szCs w:val="24"/>
        </w:rPr>
      </w:pPr>
      <w:r w:rsidRPr="000A278C">
        <w:rPr>
          <w:szCs w:val="24"/>
        </w:rPr>
        <w:t xml:space="preserve">                                         </w:t>
      </w:r>
      <w:r w:rsidRPr="000A278C">
        <w:rPr>
          <w:position w:val="-24"/>
          <w:szCs w:val="24"/>
        </w:rPr>
        <w:object w:dxaOrig="1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25pt;height:47.35pt" o:ole="">
            <v:imagedata r:id="rId5" o:title=""/>
          </v:shape>
          <o:OLEObject Type="Embed" ProgID="Equation.3" ShapeID="_x0000_i1025" DrawAspect="Content" ObjectID="_1448701206" r:id="rId6"/>
        </w:object>
      </w:r>
    </w:p>
    <w:p w:rsidR="002A1C41" w:rsidRPr="00822818" w:rsidRDefault="002A1C41" w:rsidP="002A1C41">
      <w:pPr>
        <w:contextualSpacing/>
        <w:rPr>
          <w:szCs w:val="24"/>
        </w:rPr>
      </w:pPr>
    </w:p>
    <w:p w:rsidR="002A1C41" w:rsidRPr="000A278C" w:rsidRDefault="002A1C41" w:rsidP="002A1C41">
      <w:pPr>
        <w:ind w:left="2880"/>
        <w:contextualSpacing/>
        <w:rPr>
          <w:szCs w:val="24"/>
        </w:rPr>
      </w:pPr>
      <w:proofErr w:type="gramStart"/>
      <w:r w:rsidRPr="000A278C">
        <w:rPr>
          <w:szCs w:val="24"/>
        </w:rPr>
        <w:lastRenderedPageBreak/>
        <w:t>where</w:t>
      </w:r>
      <w:proofErr w:type="gramEnd"/>
      <w:r w:rsidRPr="000A278C">
        <w:rPr>
          <w:szCs w:val="24"/>
        </w:rPr>
        <w:t>:</w:t>
      </w:r>
      <w:r w:rsidRPr="000A278C">
        <w:rPr>
          <w:szCs w:val="24"/>
        </w:rPr>
        <w:tab/>
      </w:r>
      <w:r w:rsidRPr="000A278C">
        <w:rPr>
          <w:szCs w:val="24"/>
        </w:rPr>
        <w:tab/>
      </w:r>
      <w:r w:rsidRPr="000A278C">
        <w:rPr>
          <w:i/>
          <w:szCs w:val="24"/>
        </w:rPr>
        <w:t>M</w:t>
      </w:r>
      <w:r w:rsidRPr="000A278C">
        <w:rPr>
          <w:i/>
          <w:szCs w:val="24"/>
          <w:vertAlign w:val="subscript"/>
        </w:rPr>
        <w:t>1</w:t>
      </w:r>
      <w:r w:rsidRPr="000A278C">
        <w:rPr>
          <w:szCs w:val="24"/>
        </w:rPr>
        <w:t xml:space="preserve"> = mean (clinical population)</w:t>
      </w:r>
    </w:p>
    <w:p w:rsidR="002A1C41" w:rsidRPr="000A278C" w:rsidRDefault="002A1C41" w:rsidP="002A1C41">
      <w:pPr>
        <w:ind w:left="2880" w:firstLine="720"/>
        <w:contextualSpacing/>
        <w:rPr>
          <w:szCs w:val="24"/>
        </w:rPr>
      </w:pPr>
      <w:r w:rsidRPr="000A278C">
        <w:rPr>
          <w:szCs w:val="24"/>
        </w:rPr>
        <w:tab/>
      </w:r>
      <w:r w:rsidRPr="000A278C">
        <w:rPr>
          <w:i/>
          <w:szCs w:val="24"/>
        </w:rPr>
        <w:t>M</w:t>
      </w:r>
      <w:r w:rsidRPr="000A278C">
        <w:rPr>
          <w:i/>
          <w:szCs w:val="24"/>
          <w:vertAlign w:val="subscript"/>
        </w:rPr>
        <w:t>0</w:t>
      </w:r>
      <w:r w:rsidRPr="000A278C">
        <w:rPr>
          <w:szCs w:val="24"/>
        </w:rPr>
        <w:t xml:space="preserve"> = mean (non-clinical population)</w:t>
      </w:r>
    </w:p>
    <w:p w:rsidR="002A1C41" w:rsidRPr="000A278C" w:rsidRDefault="002A1C41" w:rsidP="002A1C41">
      <w:pPr>
        <w:ind w:left="2880" w:firstLine="720"/>
        <w:contextualSpacing/>
        <w:rPr>
          <w:szCs w:val="24"/>
        </w:rPr>
      </w:pPr>
      <w:r w:rsidRPr="000A278C">
        <w:rPr>
          <w:szCs w:val="24"/>
        </w:rPr>
        <w:tab/>
      </w:r>
      <w:r w:rsidRPr="000A278C">
        <w:rPr>
          <w:i/>
          <w:szCs w:val="24"/>
        </w:rPr>
        <w:t>S</w:t>
      </w:r>
      <w:r w:rsidRPr="000A278C">
        <w:rPr>
          <w:i/>
          <w:szCs w:val="24"/>
          <w:vertAlign w:val="subscript"/>
        </w:rPr>
        <w:t>1</w:t>
      </w:r>
      <w:r w:rsidRPr="000A278C">
        <w:rPr>
          <w:szCs w:val="24"/>
        </w:rPr>
        <w:t xml:space="preserve"> = </w:t>
      </w:r>
      <w:r w:rsidRPr="000A278C">
        <w:rPr>
          <w:i/>
          <w:szCs w:val="24"/>
        </w:rPr>
        <w:t>SD</w:t>
      </w:r>
      <w:r w:rsidRPr="000A278C">
        <w:rPr>
          <w:szCs w:val="24"/>
        </w:rPr>
        <w:t xml:space="preserve"> (clinical population)</w:t>
      </w:r>
    </w:p>
    <w:p w:rsidR="002A1C41" w:rsidRPr="000A278C" w:rsidRDefault="002A1C41" w:rsidP="002A1C41">
      <w:pPr>
        <w:ind w:left="2880" w:firstLine="720"/>
        <w:contextualSpacing/>
        <w:rPr>
          <w:szCs w:val="24"/>
        </w:rPr>
      </w:pPr>
      <w:r w:rsidRPr="000A278C">
        <w:rPr>
          <w:szCs w:val="24"/>
        </w:rPr>
        <w:tab/>
      </w:r>
      <w:r w:rsidRPr="000A278C">
        <w:rPr>
          <w:i/>
          <w:szCs w:val="24"/>
        </w:rPr>
        <w:t>S</w:t>
      </w:r>
      <w:r w:rsidRPr="000A278C">
        <w:rPr>
          <w:i/>
          <w:szCs w:val="24"/>
          <w:vertAlign w:val="subscript"/>
        </w:rPr>
        <w:t>0</w:t>
      </w:r>
      <w:r w:rsidRPr="000A278C">
        <w:rPr>
          <w:i/>
          <w:szCs w:val="24"/>
        </w:rPr>
        <w:t xml:space="preserve"> </w:t>
      </w:r>
      <w:r w:rsidRPr="000A278C">
        <w:rPr>
          <w:szCs w:val="24"/>
        </w:rPr>
        <w:t xml:space="preserve">= </w:t>
      </w:r>
      <w:r w:rsidRPr="000A278C">
        <w:rPr>
          <w:i/>
          <w:szCs w:val="24"/>
        </w:rPr>
        <w:t xml:space="preserve">SD </w:t>
      </w:r>
      <w:r w:rsidRPr="000A278C">
        <w:rPr>
          <w:szCs w:val="24"/>
        </w:rPr>
        <w:t>(</w:t>
      </w:r>
      <w:r>
        <w:rPr>
          <w:szCs w:val="24"/>
        </w:rPr>
        <w:t>non-</w:t>
      </w:r>
      <w:r w:rsidRPr="000A278C">
        <w:rPr>
          <w:szCs w:val="24"/>
        </w:rPr>
        <w:t>clinical population)</w:t>
      </w:r>
    </w:p>
    <w:p w:rsidR="002A1C41" w:rsidRPr="00822818" w:rsidRDefault="002A1C41" w:rsidP="002A1C41">
      <w:pPr>
        <w:contextualSpacing/>
        <w:rPr>
          <w:szCs w:val="24"/>
        </w:rPr>
      </w:pPr>
    </w:p>
    <w:p w:rsidR="002A1C41" w:rsidRPr="000A278C" w:rsidRDefault="002A1C41" w:rsidP="002A1C41">
      <w:pPr>
        <w:contextualSpacing/>
        <w:rPr>
          <w:szCs w:val="24"/>
        </w:rPr>
      </w:pPr>
      <w:bookmarkStart w:id="7" w:name="_Toc343335906"/>
      <w:bookmarkStart w:id="8" w:name="_Toc343514438"/>
      <w:bookmarkStart w:id="9" w:name="_Toc343514985"/>
      <w:bookmarkStart w:id="10" w:name="_Toc343516608"/>
      <w:bookmarkStart w:id="11" w:name="_Toc349480866"/>
      <w:bookmarkStart w:id="12" w:name="_Toc353881744"/>
      <w:bookmarkStart w:id="13" w:name="_Toc355518549"/>
      <w:proofErr w:type="gramStart"/>
      <w:r w:rsidRPr="00025CFB">
        <w:rPr>
          <w:rStyle w:val="Heading4Char"/>
        </w:rPr>
        <w:t>Reliable change index</w:t>
      </w:r>
      <w:bookmarkEnd w:id="7"/>
      <w:bookmarkEnd w:id="8"/>
      <w:bookmarkEnd w:id="9"/>
      <w:bookmarkEnd w:id="10"/>
      <w:bookmarkEnd w:id="11"/>
      <w:bookmarkEnd w:id="12"/>
      <w:bookmarkEnd w:id="13"/>
      <w:r w:rsidRPr="000A278C">
        <w:rPr>
          <w:b/>
          <w:szCs w:val="24"/>
        </w:rPr>
        <w:t>.</w:t>
      </w:r>
      <w:proofErr w:type="gramEnd"/>
      <w:r w:rsidRPr="000A278C">
        <w:rPr>
          <w:i/>
          <w:szCs w:val="24"/>
        </w:rPr>
        <w:t xml:space="preserve"> </w:t>
      </w:r>
      <w:r w:rsidRPr="000A278C">
        <w:rPr>
          <w:szCs w:val="24"/>
        </w:rPr>
        <w:t xml:space="preserve">The Reliable Change Index (RCI) assesses the magnitude of any change that has occurred during the course of therapy. Jacobson and </w:t>
      </w:r>
      <w:proofErr w:type="spellStart"/>
      <w:r w:rsidRPr="000A278C">
        <w:rPr>
          <w:szCs w:val="24"/>
        </w:rPr>
        <w:t>Truax</w:t>
      </w:r>
      <w:proofErr w:type="spellEnd"/>
      <w:r w:rsidRPr="000A278C">
        <w:rPr>
          <w:szCs w:val="24"/>
        </w:rPr>
        <w:t xml:space="preserve"> (1991) assert that when the RCI is greater than 1.96, it is unlikely that real change has not occurred. RCIs for each participant were calculated using the following formula:</w:t>
      </w:r>
    </w:p>
    <w:p w:rsidR="002A1C41" w:rsidRPr="00F454CC" w:rsidRDefault="002A1C41" w:rsidP="002A1C41">
      <w:pPr>
        <w:contextualSpacing/>
        <w:jc w:val="center"/>
        <w:rPr>
          <w:b/>
          <w:i/>
          <w:szCs w:val="24"/>
        </w:rPr>
      </w:pPr>
      <w:r w:rsidRPr="000A278C">
        <w:rPr>
          <w:b/>
          <w:i/>
          <w:position w:val="-36"/>
          <w:szCs w:val="24"/>
        </w:rPr>
        <w:object w:dxaOrig="1640" w:dyaOrig="760">
          <v:shape id="_x0000_i1026" type="#_x0000_t75" style="width:113.4pt;height:52.25pt" o:ole="">
            <v:imagedata r:id="rId7" o:title=""/>
          </v:shape>
          <o:OLEObject Type="Embed" ProgID="Equation.3" ShapeID="_x0000_i1026" DrawAspect="Content" ObjectID="_1448701207" r:id="rId8"/>
        </w:object>
      </w:r>
    </w:p>
    <w:p w:rsidR="002A1C41" w:rsidRPr="000A278C" w:rsidRDefault="002A1C41" w:rsidP="002A1C41">
      <w:pPr>
        <w:rPr>
          <w:szCs w:val="24"/>
        </w:rPr>
      </w:pPr>
      <w:r w:rsidRPr="000A278C">
        <w:rPr>
          <w:szCs w:val="24"/>
        </w:rPr>
        <w:tab/>
      </w:r>
      <w:r w:rsidRPr="000A278C">
        <w:rPr>
          <w:szCs w:val="24"/>
        </w:rPr>
        <w:tab/>
      </w:r>
      <w:r w:rsidRPr="000A278C">
        <w:rPr>
          <w:szCs w:val="24"/>
        </w:rPr>
        <w:tab/>
      </w:r>
      <w:r w:rsidRPr="000A278C">
        <w:rPr>
          <w:szCs w:val="24"/>
        </w:rPr>
        <w:tab/>
      </w:r>
      <w:proofErr w:type="gramStart"/>
      <w:r w:rsidRPr="000A278C">
        <w:rPr>
          <w:szCs w:val="24"/>
        </w:rPr>
        <w:t>where</w:t>
      </w:r>
      <w:proofErr w:type="gramEnd"/>
      <w:r w:rsidRPr="000A278C">
        <w:rPr>
          <w:szCs w:val="24"/>
        </w:rPr>
        <w:t>:</w:t>
      </w:r>
      <w:r w:rsidRPr="000A278C">
        <w:rPr>
          <w:szCs w:val="24"/>
        </w:rPr>
        <w:tab/>
      </w:r>
      <w:r w:rsidRPr="000A278C">
        <w:rPr>
          <w:szCs w:val="24"/>
        </w:rPr>
        <w:tab/>
        <w:t>x</w:t>
      </w:r>
      <w:r w:rsidRPr="000A278C">
        <w:rPr>
          <w:szCs w:val="24"/>
          <w:vertAlign w:val="subscript"/>
        </w:rPr>
        <w:t>1</w:t>
      </w:r>
      <w:r w:rsidRPr="000A278C">
        <w:rPr>
          <w:szCs w:val="24"/>
        </w:rPr>
        <w:t xml:space="preserve"> = participant </w:t>
      </w:r>
      <w:proofErr w:type="spellStart"/>
      <w:r w:rsidRPr="000A278C">
        <w:rPr>
          <w:szCs w:val="24"/>
        </w:rPr>
        <w:t>pretreatment</w:t>
      </w:r>
      <w:proofErr w:type="spellEnd"/>
      <w:r w:rsidRPr="000A278C">
        <w:rPr>
          <w:szCs w:val="24"/>
        </w:rPr>
        <w:t xml:space="preserve"> score</w:t>
      </w:r>
    </w:p>
    <w:p w:rsidR="002A1C41" w:rsidRPr="000A278C" w:rsidRDefault="002A1C41" w:rsidP="002A1C41">
      <w:pPr>
        <w:rPr>
          <w:szCs w:val="24"/>
        </w:rPr>
      </w:pPr>
      <w:r w:rsidRPr="000A278C">
        <w:rPr>
          <w:szCs w:val="24"/>
        </w:rPr>
        <w:tab/>
      </w:r>
      <w:r w:rsidRPr="000A278C">
        <w:rPr>
          <w:szCs w:val="24"/>
        </w:rPr>
        <w:tab/>
      </w:r>
      <w:r w:rsidRPr="000A278C">
        <w:rPr>
          <w:szCs w:val="24"/>
        </w:rPr>
        <w:tab/>
      </w:r>
      <w:r w:rsidRPr="000A278C">
        <w:rPr>
          <w:szCs w:val="24"/>
        </w:rPr>
        <w:tab/>
      </w:r>
      <w:r w:rsidRPr="000A278C">
        <w:rPr>
          <w:szCs w:val="24"/>
        </w:rPr>
        <w:tab/>
      </w:r>
      <w:r w:rsidRPr="000A278C">
        <w:rPr>
          <w:szCs w:val="24"/>
        </w:rPr>
        <w:tab/>
      </w:r>
      <w:proofErr w:type="gramStart"/>
      <w:r w:rsidRPr="000A278C">
        <w:rPr>
          <w:szCs w:val="24"/>
        </w:rPr>
        <w:t>x</w:t>
      </w:r>
      <w:r w:rsidRPr="000A278C">
        <w:rPr>
          <w:szCs w:val="24"/>
          <w:vertAlign w:val="subscript"/>
        </w:rPr>
        <w:t>2</w:t>
      </w:r>
      <w:proofErr w:type="gramEnd"/>
      <w:r w:rsidRPr="000A278C">
        <w:rPr>
          <w:szCs w:val="24"/>
        </w:rPr>
        <w:t xml:space="preserve"> = score at comparison point</w:t>
      </w:r>
    </w:p>
    <w:p w:rsidR="002A1C41" w:rsidRPr="000A278C" w:rsidRDefault="002A1C41" w:rsidP="002A1C41">
      <w:pPr>
        <w:rPr>
          <w:szCs w:val="24"/>
        </w:rPr>
      </w:pPr>
      <w:r w:rsidRPr="000A278C">
        <w:rPr>
          <w:szCs w:val="24"/>
        </w:rPr>
        <w:tab/>
      </w:r>
      <w:r w:rsidRPr="000A278C">
        <w:rPr>
          <w:szCs w:val="24"/>
        </w:rPr>
        <w:tab/>
      </w:r>
      <w:r w:rsidRPr="000A278C">
        <w:rPr>
          <w:szCs w:val="24"/>
        </w:rPr>
        <w:tab/>
      </w:r>
      <w:r w:rsidRPr="000A278C">
        <w:rPr>
          <w:szCs w:val="24"/>
        </w:rPr>
        <w:tab/>
      </w:r>
      <w:r w:rsidRPr="000A278C">
        <w:rPr>
          <w:szCs w:val="24"/>
        </w:rPr>
        <w:tab/>
      </w:r>
      <w:r w:rsidRPr="000A278C">
        <w:rPr>
          <w:szCs w:val="24"/>
        </w:rPr>
        <w:tab/>
      </w:r>
      <w:r w:rsidRPr="000A278C">
        <w:rPr>
          <w:i/>
          <w:szCs w:val="24"/>
        </w:rPr>
        <w:t>SE</w:t>
      </w:r>
      <w:r w:rsidRPr="000A278C">
        <w:rPr>
          <w:szCs w:val="24"/>
        </w:rPr>
        <w:t xml:space="preserve"> = standard error of measurement</w:t>
      </w:r>
    </w:p>
    <w:p w:rsidR="002A1C41" w:rsidRPr="000A278C" w:rsidRDefault="002A1C41" w:rsidP="002A1C41">
      <w:pPr>
        <w:rPr>
          <w:szCs w:val="24"/>
        </w:rPr>
      </w:pPr>
      <w:r w:rsidRPr="000A278C">
        <w:rPr>
          <w:szCs w:val="24"/>
        </w:rPr>
        <w:tab/>
      </w:r>
      <w:r w:rsidRPr="000A278C">
        <w:rPr>
          <w:szCs w:val="24"/>
        </w:rPr>
        <w:tab/>
      </w:r>
      <w:r w:rsidRPr="000A278C">
        <w:rPr>
          <w:szCs w:val="24"/>
        </w:rPr>
        <w:tab/>
      </w:r>
      <w:r w:rsidRPr="000A278C">
        <w:rPr>
          <w:szCs w:val="24"/>
        </w:rPr>
        <w:tab/>
      </w:r>
      <w:r w:rsidRPr="000A278C">
        <w:rPr>
          <w:szCs w:val="24"/>
        </w:rPr>
        <w:tab/>
      </w:r>
      <w:r w:rsidRPr="000A278C">
        <w:rPr>
          <w:szCs w:val="24"/>
        </w:rPr>
        <w:tab/>
        <w:t xml:space="preserve">     = </w:t>
      </w:r>
      <w:r w:rsidRPr="000A278C">
        <w:rPr>
          <w:i/>
          <w:sz w:val="28"/>
          <w:szCs w:val="24"/>
        </w:rPr>
        <w:t>s</w:t>
      </w:r>
      <w:r w:rsidRPr="000A278C">
        <w:rPr>
          <w:sz w:val="28"/>
          <w:szCs w:val="24"/>
          <w:vertAlign w:val="subscript"/>
        </w:rPr>
        <w:t>1</w:t>
      </w:r>
      <w:r w:rsidRPr="000A278C">
        <w:rPr>
          <w:position w:val="-14"/>
          <w:szCs w:val="24"/>
        </w:rPr>
        <w:object w:dxaOrig="780" w:dyaOrig="420">
          <v:shape id="_x0000_i1027" type="#_x0000_t75" style="width:47.35pt;height:25.65pt" o:ole="">
            <v:imagedata r:id="rId9" o:title=""/>
          </v:shape>
          <o:OLEObject Type="Embed" ProgID="Equation.3" ShapeID="_x0000_i1027" DrawAspect="Content" ObjectID="_1448701208" r:id="rId10"/>
        </w:object>
      </w:r>
    </w:p>
    <w:p w:rsidR="002A1C41" w:rsidRDefault="002A1C41" w:rsidP="002A1C41">
      <w:pPr>
        <w:ind w:firstLine="720"/>
        <w:contextualSpacing/>
        <w:rPr>
          <w:szCs w:val="24"/>
        </w:rPr>
      </w:pPr>
    </w:p>
    <w:p w:rsidR="002A1C41" w:rsidRPr="000A278C" w:rsidRDefault="002A1C41" w:rsidP="002A1C41">
      <w:pPr>
        <w:contextualSpacing/>
        <w:rPr>
          <w:szCs w:val="24"/>
        </w:rPr>
      </w:pPr>
      <w:r>
        <w:rPr>
          <w:szCs w:val="24"/>
        </w:rPr>
        <w:t>The following table</w:t>
      </w:r>
      <w:r w:rsidRPr="000A278C">
        <w:rPr>
          <w:szCs w:val="24"/>
        </w:rPr>
        <w:t xml:space="preserve"> displays the relevant data used to calculate clinically significant and reliable change statistics for each of the DASS factors. </w:t>
      </w:r>
      <w:r>
        <w:rPr>
          <w:szCs w:val="24"/>
        </w:rPr>
        <w:t>Non-clinical n</w:t>
      </w:r>
      <w:r w:rsidRPr="000A278C">
        <w:rPr>
          <w:szCs w:val="24"/>
        </w:rPr>
        <w:t xml:space="preserve">ormative data </w:t>
      </w:r>
      <w:r>
        <w:rPr>
          <w:szCs w:val="24"/>
        </w:rPr>
        <w:t xml:space="preserve">was taken from Crawford, </w:t>
      </w:r>
      <w:proofErr w:type="spellStart"/>
      <w:r>
        <w:rPr>
          <w:szCs w:val="24"/>
        </w:rPr>
        <w:t>Caylely</w:t>
      </w:r>
      <w:proofErr w:type="spellEnd"/>
      <w:r>
        <w:rPr>
          <w:szCs w:val="24"/>
        </w:rPr>
        <w:t xml:space="preserve">, </w:t>
      </w:r>
      <w:proofErr w:type="spellStart"/>
      <w:r>
        <w:rPr>
          <w:szCs w:val="24"/>
        </w:rPr>
        <w:t>Lovibond</w:t>
      </w:r>
      <w:proofErr w:type="spellEnd"/>
      <w:r>
        <w:rPr>
          <w:szCs w:val="24"/>
        </w:rPr>
        <w:t>, Wilson and Hartley (2011) and based on 497 adults with a mean age of 42.14 (</w:t>
      </w:r>
      <w:r w:rsidRPr="00F454CC">
        <w:rPr>
          <w:i/>
          <w:szCs w:val="24"/>
        </w:rPr>
        <w:t xml:space="preserve">SD </w:t>
      </w:r>
      <w:r>
        <w:rPr>
          <w:szCs w:val="24"/>
        </w:rPr>
        <w:t xml:space="preserve">= 17.93, range 18 to 86). Clinical normative data for the DASS were taken from </w:t>
      </w:r>
      <w:r w:rsidRPr="000A278C">
        <w:rPr>
          <w:szCs w:val="24"/>
        </w:rPr>
        <w:t xml:space="preserve">Antony, </w:t>
      </w:r>
      <w:proofErr w:type="spellStart"/>
      <w:r w:rsidRPr="000A278C">
        <w:rPr>
          <w:szCs w:val="24"/>
        </w:rPr>
        <w:t>Bieling</w:t>
      </w:r>
      <w:proofErr w:type="spellEnd"/>
      <w:r w:rsidRPr="000A278C">
        <w:rPr>
          <w:szCs w:val="24"/>
        </w:rPr>
        <w:t xml:space="preserve">, Cox, </w:t>
      </w:r>
      <w:proofErr w:type="spellStart"/>
      <w:r w:rsidRPr="000A278C">
        <w:rPr>
          <w:szCs w:val="24"/>
        </w:rPr>
        <w:t>Enns</w:t>
      </w:r>
      <w:proofErr w:type="spellEnd"/>
      <w:r w:rsidRPr="000A278C">
        <w:rPr>
          <w:szCs w:val="24"/>
        </w:rPr>
        <w:t xml:space="preserve"> and </w:t>
      </w:r>
      <w:proofErr w:type="spellStart"/>
      <w:r w:rsidRPr="000A278C">
        <w:rPr>
          <w:szCs w:val="24"/>
        </w:rPr>
        <w:t>Swinson</w:t>
      </w:r>
      <w:proofErr w:type="spellEnd"/>
      <w:r w:rsidRPr="000A278C">
        <w:rPr>
          <w:szCs w:val="24"/>
        </w:rPr>
        <w:t xml:space="preserve"> (1998)</w:t>
      </w:r>
      <w:r>
        <w:rPr>
          <w:szCs w:val="24"/>
        </w:rPr>
        <w:t xml:space="preserve"> as these were the only normative data available for clinical populations. These norms were developed based on a sample of 258 </w:t>
      </w:r>
      <w:proofErr w:type="spellStart"/>
      <w:r>
        <w:rPr>
          <w:szCs w:val="24"/>
        </w:rPr>
        <w:t>ouptatients</w:t>
      </w:r>
      <w:proofErr w:type="spellEnd"/>
      <w:r>
        <w:rPr>
          <w:szCs w:val="24"/>
        </w:rPr>
        <w:t xml:space="preserve"> with MDD and/or anxiety (panic disorder, OCD, social anxiety) with a mean age of 44.9 years. </w:t>
      </w:r>
      <w:r w:rsidRPr="000A278C">
        <w:rPr>
          <w:szCs w:val="24"/>
        </w:rPr>
        <w:t>Reliability coefficients for each of the DASS-21 factors were taken from Henry and Crawford (2005).</w:t>
      </w:r>
    </w:p>
    <w:p w:rsidR="002A1C41" w:rsidRDefault="002A1C41" w:rsidP="002A1C41">
      <w:pPr>
        <w:contextualSpacing/>
        <w:rPr>
          <w:szCs w:val="24"/>
        </w:rPr>
      </w:pPr>
    </w:p>
    <w:p w:rsidR="002A1C41" w:rsidRDefault="002A1C41" w:rsidP="002A1C41">
      <w:pPr>
        <w:pStyle w:val="Caption"/>
      </w:pPr>
      <w:bookmarkStart w:id="14" w:name="_Toc349476415"/>
      <w:bookmarkStart w:id="15" w:name="_Toc370139378"/>
    </w:p>
    <w:p w:rsidR="002A1C41" w:rsidRDefault="002A1C41" w:rsidP="002A1C41">
      <w:pPr>
        <w:pStyle w:val="Caption"/>
      </w:pPr>
    </w:p>
    <w:p w:rsidR="002A1C41" w:rsidRDefault="002A1C41" w:rsidP="002A1C41">
      <w:pPr>
        <w:pStyle w:val="Caption"/>
      </w:pPr>
    </w:p>
    <w:p w:rsidR="002A1C41" w:rsidRDefault="002A1C41" w:rsidP="002A1C41">
      <w:pPr>
        <w:pStyle w:val="Caption"/>
      </w:pPr>
    </w:p>
    <w:p w:rsidR="002A1C41" w:rsidRDefault="002A1C41" w:rsidP="002A1C41">
      <w:pPr>
        <w:pStyle w:val="Caption"/>
      </w:pPr>
    </w:p>
    <w:p w:rsidR="002A1C41" w:rsidRDefault="002A1C41" w:rsidP="002A1C41">
      <w:pPr>
        <w:pStyle w:val="Caption"/>
      </w:pPr>
    </w:p>
    <w:p w:rsidR="002A1C41" w:rsidRPr="000A278C" w:rsidRDefault="002A1C41" w:rsidP="002A1C41">
      <w:pPr>
        <w:pStyle w:val="Caption"/>
        <w:rPr>
          <w:i/>
          <w:szCs w:val="24"/>
        </w:rPr>
      </w:pPr>
      <w:r w:rsidRPr="00A83396">
        <w:rPr>
          <w:i/>
        </w:rPr>
        <w:lastRenderedPageBreak/>
        <w:t>Data Used to Compute Clinically Significant Change for the DASS-21</w:t>
      </w:r>
      <w:bookmarkEnd w:id="14"/>
      <w:bookmarkEnd w:id="15"/>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4361"/>
        <w:gridCol w:w="1358"/>
        <w:gridCol w:w="1359"/>
        <w:gridCol w:w="1359"/>
      </w:tblGrid>
      <w:tr w:rsidR="002A1C41" w:rsidRPr="000A278C" w:rsidTr="00CC3442">
        <w:tc>
          <w:tcPr>
            <w:tcW w:w="4361" w:type="dxa"/>
            <w:tcBorders>
              <w:bottom w:val="single" w:sz="4" w:space="0" w:color="auto"/>
            </w:tcBorders>
            <w:shd w:val="clear" w:color="auto" w:fill="auto"/>
          </w:tcPr>
          <w:p w:rsidR="002A1C41" w:rsidRPr="000A278C" w:rsidRDefault="002A1C41" w:rsidP="00CC3442">
            <w:pPr>
              <w:spacing w:before="120"/>
              <w:contextualSpacing/>
              <w:rPr>
                <w:szCs w:val="24"/>
              </w:rPr>
            </w:pPr>
          </w:p>
        </w:tc>
        <w:tc>
          <w:tcPr>
            <w:tcW w:w="1358" w:type="dxa"/>
            <w:tcBorders>
              <w:bottom w:val="single" w:sz="4" w:space="0" w:color="auto"/>
            </w:tcBorders>
            <w:shd w:val="clear" w:color="auto" w:fill="auto"/>
          </w:tcPr>
          <w:p w:rsidR="002A1C41" w:rsidRPr="000A278C" w:rsidRDefault="002A1C41" w:rsidP="00CC3442">
            <w:pPr>
              <w:spacing w:before="120"/>
              <w:contextualSpacing/>
              <w:jc w:val="center"/>
              <w:rPr>
                <w:szCs w:val="24"/>
              </w:rPr>
            </w:pPr>
            <w:r w:rsidRPr="000A278C">
              <w:rPr>
                <w:szCs w:val="24"/>
              </w:rPr>
              <w:t>DASS-D</w:t>
            </w:r>
          </w:p>
        </w:tc>
        <w:tc>
          <w:tcPr>
            <w:tcW w:w="1359" w:type="dxa"/>
            <w:tcBorders>
              <w:bottom w:val="single" w:sz="4" w:space="0" w:color="auto"/>
            </w:tcBorders>
            <w:shd w:val="clear" w:color="auto" w:fill="auto"/>
          </w:tcPr>
          <w:p w:rsidR="002A1C41" w:rsidRPr="000A278C" w:rsidRDefault="002A1C41" w:rsidP="00CC3442">
            <w:pPr>
              <w:spacing w:before="120"/>
              <w:contextualSpacing/>
              <w:jc w:val="center"/>
              <w:rPr>
                <w:szCs w:val="24"/>
              </w:rPr>
            </w:pPr>
            <w:r w:rsidRPr="000A278C">
              <w:rPr>
                <w:szCs w:val="24"/>
              </w:rPr>
              <w:t>DASS-A</w:t>
            </w:r>
          </w:p>
        </w:tc>
        <w:tc>
          <w:tcPr>
            <w:tcW w:w="1359" w:type="dxa"/>
            <w:tcBorders>
              <w:bottom w:val="single" w:sz="4" w:space="0" w:color="auto"/>
            </w:tcBorders>
            <w:shd w:val="clear" w:color="auto" w:fill="auto"/>
          </w:tcPr>
          <w:p w:rsidR="002A1C41" w:rsidRPr="000A278C" w:rsidRDefault="002A1C41" w:rsidP="00CC3442">
            <w:pPr>
              <w:spacing w:before="120"/>
              <w:contextualSpacing/>
              <w:jc w:val="center"/>
              <w:rPr>
                <w:szCs w:val="24"/>
              </w:rPr>
            </w:pPr>
            <w:r w:rsidRPr="000A278C">
              <w:rPr>
                <w:szCs w:val="24"/>
              </w:rPr>
              <w:t>DASS-S</w:t>
            </w:r>
          </w:p>
        </w:tc>
      </w:tr>
      <w:tr w:rsidR="002A1C41" w:rsidRPr="000A278C" w:rsidTr="00CC3442">
        <w:tc>
          <w:tcPr>
            <w:tcW w:w="4361" w:type="dxa"/>
            <w:tcBorders>
              <w:bottom w:val="nil"/>
            </w:tcBorders>
            <w:shd w:val="clear" w:color="auto" w:fill="auto"/>
            <w:tcMar>
              <w:top w:w="170" w:type="dxa"/>
            </w:tcMar>
          </w:tcPr>
          <w:p w:rsidR="002A1C41" w:rsidRPr="000A278C" w:rsidRDefault="002A1C41" w:rsidP="00CC3442">
            <w:pPr>
              <w:contextualSpacing/>
              <w:rPr>
                <w:szCs w:val="24"/>
              </w:rPr>
            </w:pPr>
            <w:r w:rsidRPr="000A278C">
              <w:rPr>
                <w:szCs w:val="24"/>
              </w:rPr>
              <w:t xml:space="preserve">Non-clinical mean, </w:t>
            </w:r>
            <w:r w:rsidRPr="000A278C">
              <w:rPr>
                <w:i/>
                <w:szCs w:val="24"/>
              </w:rPr>
              <w:t>M</w:t>
            </w:r>
            <w:r w:rsidRPr="000A278C">
              <w:rPr>
                <w:i/>
                <w:szCs w:val="24"/>
                <w:vertAlign w:val="subscript"/>
              </w:rPr>
              <w:t>0</w:t>
            </w:r>
          </w:p>
        </w:tc>
        <w:tc>
          <w:tcPr>
            <w:tcW w:w="1358" w:type="dxa"/>
            <w:tcBorders>
              <w:bottom w:val="nil"/>
            </w:tcBorders>
            <w:shd w:val="clear" w:color="auto" w:fill="auto"/>
            <w:tcMar>
              <w:top w:w="170" w:type="dxa"/>
            </w:tcMar>
          </w:tcPr>
          <w:p w:rsidR="002A1C41" w:rsidRPr="000A278C" w:rsidRDefault="002A1C41" w:rsidP="00CC3442">
            <w:pPr>
              <w:contextualSpacing/>
              <w:jc w:val="center"/>
              <w:rPr>
                <w:szCs w:val="24"/>
              </w:rPr>
            </w:pPr>
            <w:r>
              <w:rPr>
                <w:szCs w:val="24"/>
              </w:rPr>
              <w:t>2.21</w:t>
            </w:r>
          </w:p>
        </w:tc>
        <w:tc>
          <w:tcPr>
            <w:tcW w:w="1359" w:type="dxa"/>
            <w:tcBorders>
              <w:bottom w:val="nil"/>
            </w:tcBorders>
            <w:shd w:val="clear" w:color="auto" w:fill="auto"/>
            <w:tcMar>
              <w:top w:w="170" w:type="dxa"/>
            </w:tcMar>
          </w:tcPr>
          <w:p w:rsidR="002A1C41" w:rsidRPr="000A278C" w:rsidRDefault="002A1C41" w:rsidP="00CC3442">
            <w:pPr>
              <w:contextualSpacing/>
              <w:jc w:val="center"/>
              <w:rPr>
                <w:szCs w:val="24"/>
              </w:rPr>
            </w:pPr>
            <w:r>
              <w:rPr>
                <w:szCs w:val="24"/>
              </w:rPr>
              <w:t>1.48</w:t>
            </w:r>
          </w:p>
        </w:tc>
        <w:tc>
          <w:tcPr>
            <w:tcW w:w="1359" w:type="dxa"/>
            <w:tcBorders>
              <w:bottom w:val="nil"/>
            </w:tcBorders>
            <w:shd w:val="clear" w:color="auto" w:fill="auto"/>
            <w:tcMar>
              <w:top w:w="170" w:type="dxa"/>
            </w:tcMar>
          </w:tcPr>
          <w:p w:rsidR="002A1C41" w:rsidRPr="000A278C" w:rsidRDefault="002A1C41" w:rsidP="00CC3442">
            <w:pPr>
              <w:contextualSpacing/>
              <w:jc w:val="center"/>
              <w:rPr>
                <w:szCs w:val="24"/>
              </w:rPr>
            </w:pPr>
            <w:r>
              <w:rPr>
                <w:szCs w:val="24"/>
              </w:rPr>
              <w:t>3.79</w:t>
            </w:r>
          </w:p>
        </w:tc>
      </w:tr>
      <w:tr w:rsidR="002A1C41" w:rsidRPr="000A278C" w:rsidTr="00CC3442">
        <w:tc>
          <w:tcPr>
            <w:tcW w:w="4361" w:type="dxa"/>
            <w:tcBorders>
              <w:top w:val="nil"/>
              <w:bottom w:val="nil"/>
            </w:tcBorders>
            <w:shd w:val="clear" w:color="auto" w:fill="auto"/>
          </w:tcPr>
          <w:p w:rsidR="002A1C41" w:rsidRPr="000A278C" w:rsidRDefault="002A1C41" w:rsidP="00CC3442">
            <w:pPr>
              <w:contextualSpacing/>
              <w:rPr>
                <w:szCs w:val="24"/>
              </w:rPr>
            </w:pPr>
            <w:r w:rsidRPr="000A278C">
              <w:rPr>
                <w:szCs w:val="24"/>
              </w:rPr>
              <w:t xml:space="preserve">Clinical mean, </w:t>
            </w:r>
            <w:r w:rsidRPr="000A278C">
              <w:rPr>
                <w:i/>
                <w:szCs w:val="24"/>
              </w:rPr>
              <w:t>M</w:t>
            </w:r>
            <w:r w:rsidRPr="000A278C">
              <w:rPr>
                <w:i/>
                <w:szCs w:val="24"/>
                <w:vertAlign w:val="subscript"/>
              </w:rPr>
              <w:t>1</w:t>
            </w:r>
          </w:p>
        </w:tc>
        <w:tc>
          <w:tcPr>
            <w:tcW w:w="1358" w:type="dxa"/>
            <w:tcBorders>
              <w:top w:val="nil"/>
              <w:bottom w:val="nil"/>
            </w:tcBorders>
            <w:shd w:val="clear" w:color="auto" w:fill="auto"/>
          </w:tcPr>
          <w:p w:rsidR="002A1C41" w:rsidRPr="000A278C" w:rsidRDefault="002A1C41" w:rsidP="00CC3442">
            <w:pPr>
              <w:contextualSpacing/>
              <w:jc w:val="center"/>
              <w:rPr>
                <w:szCs w:val="24"/>
              </w:rPr>
            </w:pPr>
            <w:r>
              <w:rPr>
                <w:szCs w:val="24"/>
              </w:rPr>
              <w:t>14.98</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9.36</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12.15</w:t>
            </w:r>
          </w:p>
        </w:tc>
      </w:tr>
      <w:tr w:rsidR="002A1C41" w:rsidRPr="000A278C" w:rsidTr="00CC3442">
        <w:tc>
          <w:tcPr>
            <w:tcW w:w="4361" w:type="dxa"/>
            <w:tcBorders>
              <w:top w:val="nil"/>
              <w:bottom w:val="nil"/>
            </w:tcBorders>
            <w:shd w:val="clear" w:color="auto" w:fill="auto"/>
          </w:tcPr>
          <w:p w:rsidR="002A1C41" w:rsidRPr="000A278C" w:rsidRDefault="002A1C41" w:rsidP="00CC3442">
            <w:pPr>
              <w:contextualSpacing/>
              <w:rPr>
                <w:szCs w:val="24"/>
              </w:rPr>
            </w:pPr>
            <w:r w:rsidRPr="000A278C">
              <w:rPr>
                <w:szCs w:val="24"/>
              </w:rPr>
              <w:t xml:space="preserve">Non-clinical SD, </w:t>
            </w:r>
            <w:r w:rsidRPr="000A278C">
              <w:rPr>
                <w:i/>
                <w:szCs w:val="24"/>
              </w:rPr>
              <w:t>S</w:t>
            </w:r>
            <w:r w:rsidRPr="000A278C">
              <w:rPr>
                <w:i/>
                <w:szCs w:val="24"/>
                <w:vertAlign w:val="subscript"/>
              </w:rPr>
              <w:t>0</w:t>
            </w:r>
          </w:p>
        </w:tc>
        <w:tc>
          <w:tcPr>
            <w:tcW w:w="1358" w:type="dxa"/>
            <w:tcBorders>
              <w:top w:val="nil"/>
              <w:bottom w:val="nil"/>
            </w:tcBorders>
            <w:shd w:val="clear" w:color="auto" w:fill="auto"/>
          </w:tcPr>
          <w:p w:rsidR="002A1C41" w:rsidRPr="000A278C" w:rsidRDefault="002A1C41" w:rsidP="00CC3442">
            <w:pPr>
              <w:contextualSpacing/>
              <w:jc w:val="center"/>
              <w:rPr>
                <w:szCs w:val="24"/>
              </w:rPr>
            </w:pPr>
            <w:r>
              <w:rPr>
                <w:szCs w:val="24"/>
              </w:rPr>
              <w:t>3.60</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2.60</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4.10</w:t>
            </w:r>
          </w:p>
        </w:tc>
        <w:bookmarkStart w:id="16" w:name="_GoBack"/>
        <w:bookmarkEnd w:id="16"/>
      </w:tr>
      <w:tr w:rsidR="002A1C41" w:rsidRPr="000A278C" w:rsidTr="00CC3442">
        <w:trPr>
          <w:trHeight w:val="400"/>
        </w:trPr>
        <w:tc>
          <w:tcPr>
            <w:tcW w:w="4361" w:type="dxa"/>
            <w:tcBorders>
              <w:top w:val="nil"/>
              <w:bottom w:val="nil"/>
            </w:tcBorders>
            <w:shd w:val="clear" w:color="auto" w:fill="auto"/>
          </w:tcPr>
          <w:p w:rsidR="002A1C41" w:rsidRPr="000A278C" w:rsidRDefault="002A1C41" w:rsidP="00CC3442">
            <w:pPr>
              <w:contextualSpacing/>
              <w:rPr>
                <w:szCs w:val="24"/>
              </w:rPr>
            </w:pPr>
            <w:r w:rsidRPr="000A278C">
              <w:rPr>
                <w:szCs w:val="24"/>
              </w:rPr>
              <w:t xml:space="preserve">Clinical SD, </w:t>
            </w:r>
            <w:r w:rsidRPr="000A278C">
              <w:rPr>
                <w:i/>
                <w:szCs w:val="24"/>
              </w:rPr>
              <w:t>S</w:t>
            </w:r>
            <w:r w:rsidRPr="000A278C">
              <w:rPr>
                <w:i/>
                <w:szCs w:val="24"/>
                <w:vertAlign w:val="subscript"/>
              </w:rPr>
              <w:t>1</w:t>
            </w:r>
          </w:p>
        </w:tc>
        <w:tc>
          <w:tcPr>
            <w:tcW w:w="1358" w:type="dxa"/>
            <w:tcBorders>
              <w:top w:val="nil"/>
              <w:bottom w:val="nil"/>
            </w:tcBorders>
            <w:shd w:val="clear" w:color="auto" w:fill="auto"/>
          </w:tcPr>
          <w:p w:rsidR="002A1C41" w:rsidRPr="000A278C" w:rsidRDefault="002A1C41" w:rsidP="00CC3442">
            <w:pPr>
              <w:contextualSpacing/>
              <w:jc w:val="center"/>
              <w:rPr>
                <w:szCs w:val="24"/>
              </w:rPr>
            </w:pPr>
            <w:r>
              <w:rPr>
                <w:szCs w:val="24"/>
              </w:rPr>
              <w:t>4.59</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5.39</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Pr>
                <w:szCs w:val="24"/>
              </w:rPr>
              <w:t>4.92</w:t>
            </w:r>
          </w:p>
        </w:tc>
      </w:tr>
      <w:tr w:rsidR="002A1C41" w:rsidRPr="000A278C" w:rsidTr="00CC3442">
        <w:trPr>
          <w:trHeight w:val="393"/>
        </w:trPr>
        <w:tc>
          <w:tcPr>
            <w:tcW w:w="4361" w:type="dxa"/>
            <w:tcBorders>
              <w:top w:val="nil"/>
              <w:bottom w:val="nil"/>
            </w:tcBorders>
            <w:shd w:val="clear" w:color="auto" w:fill="auto"/>
          </w:tcPr>
          <w:p w:rsidR="002A1C41" w:rsidRPr="000A278C" w:rsidRDefault="002A1C41" w:rsidP="00CC3442">
            <w:pPr>
              <w:contextualSpacing/>
              <w:rPr>
                <w:szCs w:val="24"/>
              </w:rPr>
            </w:pPr>
            <w:r w:rsidRPr="000A278C">
              <w:rPr>
                <w:szCs w:val="24"/>
              </w:rPr>
              <w:t xml:space="preserve">Reliability, </w:t>
            </w:r>
            <w:proofErr w:type="spellStart"/>
            <w:r w:rsidRPr="000A278C">
              <w:rPr>
                <w:i/>
                <w:szCs w:val="24"/>
              </w:rPr>
              <w:t>r</w:t>
            </w:r>
            <w:r w:rsidRPr="000A278C">
              <w:rPr>
                <w:szCs w:val="24"/>
                <w:vertAlign w:val="subscript"/>
              </w:rPr>
              <w:t>xx</w:t>
            </w:r>
            <w:proofErr w:type="spellEnd"/>
          </w:p>
        </w:tc>
        <w:tc>
          <w:tcPr>
            <w:tcW w:w="1358"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.88</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.82</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.90</w:t>
            </w:r>
          </w:p>
        </w:tc>
      </w:tr>
      <w:tr w:rsidR="002A1C41" w:rsidRPr="000A278C" w:rsidTr="00CC3442">
        <w:trPr>
          <w:trHeight w:val="413"/>
        </w:trPr>
        <w:tc>
          <w:tcPr>
            <w:tcW w:w="4361" w:type="dxa"/>
            <w:tcBorders>
              <w:top w:val="nil"/>
              <w:bottom w:val="nil"/>
            </w:tcBorders>
            <w:shd w:val="clear" w:color="auto" w:fill="auto"/>
          </w:tcPr>
          <w:p w:rsidR="002A1C41" w:rsidRPr="000A278C" w:rsidRDefault="002A1C41" w:rsidP="00CC3442">
            <w:pPr>
              <w:contextualSpacing/>
              <w:rPr>
                <w:i/>
                <w:szCs w:val="24"/>
              </w:rPr>
            </w:pPr>
            <w:r w:rsidRPr="000A278C">
              <w:rPr>
                <w:szCs w:val="24"/>
              </w:rPr>
              <w:t xml:space="preserve">Standard error of measurement, </w:t>
            </w:r>
            <w:r w:rsidRPr="000A278C">
              <w:rPr>
                <w:i/>
                <w:szCs w:val="24"/>
              </w:rPr>
              <w:t>SE</w:t>
            </w:r>
          </w:p>
        </w:tc>
        <w:tc>
          <w:tcPr>
            <w:tcW w:w="1358"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1.87</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2.09</w:t>
            </w:r>
          </w:p>
        </w:tc>
        <w:tc>
          <w:tcPr>
            <w:tcW w:w="1359" w:type="dxa"/>
            <w:tcBorders>
              <w:top w:val="nil"/>
              <w:bottom w:val="nil"/>
            </w:tcBorders>
            <w:shd w:val="clear" w:color="auto" w:fill="auto"/>
          </w:tcPr>
          <w:p w:rsidR="002A1C41" w:rsidRPr="000A278C" w:rsidRDefault="002A1C41" w:rsidP="00CC3442">
            <w:pPr>
              <w:contextualSpacing/>
              <w:jc w:val="center"/>
              <w:rPr>
                <w:szCs w:val="24"/>
              </w:rPr>
            </w:pPr>
            <w:r w:rsidRPr="000A278C">
              <w:rPr>
                <w:szCs w:val="24"/>
              </w:rPr>
              <w:t>1.45</w:t>
            </w:r>
          </w:p>
        </w:tc>
      </w:tr>
      <w:tr w:rsidR="002A1C41" w:rsidRPr="000A278C" w:rsidTr="00CC3442">
        <w:tc>
          <w:tcPr>
            <w:tcW w:w="4361" w:type="dxa"/>
            <w:tcBorders>
              <w:top w:val="nil"/>
            </w:tcBorders>
            <w:shd w:val="clear" w:color="auto" w:fill="auto"/>
          </w:tcPr>
          <w:p w:rsidR="002A1C41" w:rsidRPr="000A278C" w:rsidRDefault="002A1C41" w:rsidP="00CC3442">
            <w:pPr>
              <w:contextualSpacing/>
              <w:rPr>
                <w:szCs w:val="24"/>
              </w:rPr>
            </w:pPr>
            <w:r w:rsidRPr="000A278C">
              <w:rPr>
                <w:szCs w:val="24"/>
              </w:rPr>
              <w:t xml:space="preserve">Cut-off for clinically significant change, </w:t>
            </w:r>
            <w:r w:rsidRPr="000A278C">
              <w:rPr>
                <w:i/>
                <w:szCs w:val="24"/>
              </w:rPr>
              <w:t>c</w:t>
            </w:r>
          </w:p>
        </w:tc>
        <w:tc>
          <w:tcPr>
            <w:tcW w:w="1358" w:type="dxa"/>
            <w:tcBorders>
              <w:top w:val="nil"/>
            </w:tcBorders>
            <w:shd w:val="clear" w:color="auto" w:fill="auto"/>
          </w:tcPr>
          <w:p w:rsidR="002A1C41" w:rsidRPr="000A278C" w:rsidRDefault="002A1C41" w:rsidP="00CC3442">
            <w:pPr>
              <w:contextualSpacing/>
              <w:jc w:val="center"/>
              <w:rPr>
                <w:szCs w:val="24"/>
              </w:rPr>
            </w:pPr>
            <w:r>
              <w:rPr>
                <w:szCs w:val="24"/>
              </w:rPr>
              <w:t>7.82</w:t>
            </w:r>
          </w:p>
        </w:tc>
        <w:tc>
          <w:tcPr>
            <w:tcW w:w="1359" w:type="dxa"/>
            <w:tcBorders>
              <w:top w:val="nil"/>
            </w:tcBorders>
            <w:shd w:val="clear" w:color="auto" w:fill="auto"/>
          </w:tcPr>
          <w:p w:rsidR="002A1C41" w:rsidRPr="000A278C" w:rsidRDefault="002A1C41" w:rsidP="00CC3442">
            <w:pPr>
              <w:contextualSpacing/>
              <w:jc w:val="center"/>
              <w:rPr>
                <w:szCs w:val="24"/>
              </w:rPr>
            </w:pPr>
            <w:r>
              <w:rPr>
                <w:szCs w:val="24"/>
              </w:rPr>
              <w:t>4.04</w:t>
            </w:r>
          </w:p>
        </w:tc>
        <w:tc>
          <w:tcPr>
            <w:tcW w:w="1359" w:type="dxa"/>
            <w:tcBorders>
              <w:top w:val="nil"/>
            </w:tcBorders>
            <w:shd w:val="clear" w:color="auto" w:fill="auto"/>
          </w:tcPr>
          <w:p w:rsidR="002A1C41" w:rsidRPr="000A278C" w:rsidRDefault="002A1C41" w:rsidP="00CC3442">
            <w:pPr>
              <w:contextualSpacing/>
              <w:jc w:val="center"/>
              <w:rPr>
                <w:szCs w:val="24"/>
              </w:rPr>
            </w:pPr>
            <w:r>
              <w:rPr>
                <w:szCs w:val="24"/>
              </w:rPr>
              <w:t>7.59</w:t>
            </w:r>
          </w:p>
        </w:tc>
      </w:tr>
    </w:tbl>
    <w:p w:rsidR="002A1C41" w:rsidRDefault="002A1C41" w:rsidP="002A1C41">
      <w:pPr>
        <w:contextualSpacing/>
        <w:rPr>
          <w:b/>
          <w:szCs w:val="24"/>
        </w:rPr>
      </w:pPr>
    </w:p>
    <w:p w:rsidR="002A1C41" w:rsidRPr="000A278C" w:rsidRDefault="002A1C41" w:rsidP="002A1C41">
      <w:pPr>
        <w:contextualSpacing/>
        <w:rPr>
          <w:b/>
          <w:szCs w:val="24"/>
        </w:rPr>
      </w:pPr>
    </w:p>
    <w:p w:rsidR="002A1C41" w:rsidRDefault="002A1C41" w:rsidP="002A1C41">
      <w:pPr>
        <w:contextualSpacing/>
        <w:rPr>
          <w:szCs w:val="24"/>
        </w:rPr>
      </w:pPr>
      <w:bookmarkStart w:id="17" w:name="_Toc343335907"/>
      <w:bookmarkStart w:id="18" w:name="_Toc343514439"/>
      <w:bookmarkStart w:id="19" w:name="_Toc343514986"/>
      <w:bookmarkStart w:id="20" w:name="_Toc343516609"/>
      <w:bookmarkStart w:id="21" w:name="_Toc349480867"/>
      <w:bookmarkStart w:id="22" w:name="_Toc353881745"/>
      <w:bookmarkStart w:id="23" w:name="_Toc355518550"/>
      <w:proofErr w:type="gramStart"/>
      <w:r w:rsidRPr="00025CFB">
        <w:rPr>
          <w:rStyle w:val="Heading4Char"/>
        </w:rPr>
        <w:t>Determination of outcome group</w:t>
      </w:r>
      <w:bookmarkEnd w:id="17"/>
      <w:bookmarkEnd w:id="18"/>
      <w:bookmarkEnd w:id="19"/>
      <w:bookmarkEnd w:id="20"/>
      <w:bookmarkEnd w:id="21"/>
      <w:bookmarkEnd w:id="22"/>
      <w:bookmarkEnd w:id="23"/>
      <w:r w:rsidRPr="000A278C">
        <w:rPr>
          <w:b/>
          <w:szCs w:val="24"/>
        </w:rPr>
        <w:t>.</w:t>
      </w:r>
      <w:proofErr w:type="gramEnd"/>
      <w:r w:rsidRPr="000A278C">
        <w:rPr>
          <w:szCs w:val="24"/>
        </w:rPr>
        <w:t xml:space="preserve"> Participants’ clinically significant change results and RCIs for each of the DASS factors were combined to determine their tre</w:t>
      </w:r>
      <w:r>
        <w:rPr>
          <w:szCs w:val="24"/>
        </w:rPr>
        <w:t xml:space="preserve">atment outcome at </w:t>
      </w:r>
      <w:proofErr w:type="spellStart"/>
      <w:r>
        <w:rPr>
          <w:szCs w:val="24"/>
        </w:rPr>
        <w:t>posttreatment</w:t>
      </w:r>
      <w:proofErr w:type="spellEnd"/>
      <w:r>
        <w:rPr>
          <w:szCs w:val="24"/>
        </w:rPr>
        <w:t xml:space="preserve"> and follow-ups</w:t>
      </w:r>
      <w:r w:rsidRPr="000A278C">
        <w:rPr>
          <w:szCs w:val="24"/>
        </w:rPr>
        <w:t xml:space="preserve">. </w:t>
      </w:r>
      <w:r>
        <w:rPr>
          <w:szCs w:val="24"/>
        </w:rPr>
        <w:t>The table below</w:t>
      </w:r>
      <w:r w:rsidRPr="000A278C">
        <w:rPr>
          <w:szCs w:val="24"/>
        </w:rPr>
        <w:t xml:space="preserve"> displays Jacobson and </w:t>
      </w:r>
      <w:proofErr w:type="spellStart"/>
      <w:r w:rsidRPr="000A278C">
        <w:rPr>
          <w:szCs w:val="24"/>
        </w:rPr>
        <w:t>Truax’s</w:t>
      </w:r>
      <w:proofErr w:type="spellEnd"/>
      <w:r w:rsidRPr="000A278C">
        <w:rPr>
          <w:szCs w:val="24"/>
        </w:rPr>
        <w:t xml:space="preserve"> (1991) criteria for each outcome. Clinically significant change calculations were not computed for PDQ-39 and CCL scores as these are not clinical measures and there are no available clinical and/or population normative data.</w:t>
      </w:r>
    </w:p>
    <w:p w:rsidR="002A1C41" w:rsidRPr="000A278C" w:rsidRDefault="002A1C41" w:rsidP="002A1C41">
      <w:pPr>
        <w:pStyle w:val="Caption"/>
        <w:spacing w:line="288" w:lineRule="auto"/>
        <w:rPr>
          <w:i/>
          <w:szCs w:val="24"/>
        </w:rPr>
      </w:pPr>
      <w:bookmarkStart w:id="24" w:name="_Toc349476416"/>
      <w:bookmarkStart w:id="25" w:name="_Toc370139379"/>
      <w:r>
        <w:br/>
      </w:r>
      <w:r w:rsidRPr="00A83396">
        <w:rPr>
          <w:i/>
        </w:rPr>
        <w:t>Criteria for Determination of Clinically Significant Change Treatment Outcomes</w:t>
      </w:r>
      <w:bookmarkEnd w:id="24"/>
      <w:bookmarkEnd w:id="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tblCellMar>
        <w:tblLook w:val="00A0" w:firstRow="1" w:lastRow="0" w:firstColumn="1" w:lastColumn="0" w:noHBand="0" w:noVBand="0"/>
      </w:tblPr>
      <w:tblGrid>
        <w:gridCol w:w="3080"/>
        <w:gridCol w:w="3081"/>
        <w:gridCol w:w="2736"/>
      </w:tblGrid>
      <w:tr w:rsidR="002A1C41" w:rsidRPr="000A278C" w:rsidTr="00CC3442">
        <w:tc>
          <w:tcPr>
            <w:tcW w:w="3080" w:type="dxa"/>
            <w:tcBorders>
              <w:left w:val="nil"/>
              <w:right w:val="nil"/>
            </w:tcBorders>
          </w:tcPr>
          <w:p w:rsidR="002A1C41" w:rsidRPr="000A278C" w:rsidRDefault="002A1C41" w:rsidP="00CC3442">
            <w:pPr>
              <w:spacing w:line="288" w:lineRule="auto"/>
              <w:contextualSpacing/>
              <w:rPr>
                <w:szCs w:val="24"/>
              </w:rPr>
            </w:pPr>
            <w:r w:rsidRPr="000A278C">
              <w:rPr>
                <w:szCs w:val="24"/>
              </w:rPr>
              <w:t>Outcome</w:t>
            </w:r>
          </w:p>
        </w:tc>
        <w:tc>
          <w:tcPr>
            <w:tcW w:w="3081" w:type="dxa"/>
            <w:tcBorders>
              <w:left w:val="nil"/>
              <w:right w:val="nil"/>
            </w:tcBorders>
          </w:tcPr>
          <w:p w:rsidR="002A1C41" w:rsidRPr="000A278C" w:rsidRDefault="002A1C41" w:rsidP="00CC3442">
            <w:pPr>
              <w:spacing w:line="288" w:lineRule="auto"/>
              <w:contextualSpacing/>
              <w:jc w:val="center"/>
              <w:rPr>
                <w:szCs w:val="24"/>
              </w:rPr>
            </w:pPr>
            <w:r w:rsidRPr="000A278C">
              <w:rPr>
                <w:szCs w:val="24"/>
              </w:rPr>
              <w:t>Clinically significant change (exceed cut-off?)</w:t>
            </w:r>
          </w:p>
        </w:tc>
        <w:tc>
          <w:tcPr>
            <w:tcW w:w="2736" w:type="dxa"/>
            <w:tcBorders>
              <w:left w:val="nil"/>
              <w:right w:val="nil"/>
            </w:tcBorders>
          </w:tcPr>
          <w:p w:rsidR="002A1C41" w:rsidRPr="000A278C" w:rsidRDefault="002A1C41" w:rsidP="00CC3442">
            <w:pPr>
              <w:spacing w:line="288" w:lineRule="auto"/>
              <w:contextualSpacing/>
              <w:jc w:val="center"/>
              <w:rPr>
                <w:szCs w:val="24"/>
              </w:rPr>
            </w:pPr>
            <w:r w:rsidRPr="000A278C">
              <w:rPr>
                <w:szCs w:val="24"/>
              </w:rPr>
              <w:t>RCI</w:t>
            </w:r>
          </w:p>
        </w:tc>
      </w:tr>
      <w:tr w:rsidR="002A1C41" w:rsidRPr="000A278C" w:rsidTr="00CC3442">
        <w:tc>
          <w:tcPr>
            <w:tcW w:w="3080" w:type="dxa"/>
            <w:tcBorders>
              <w:left w:val="nil"/>
              <w:bottom w:val="nil"/>
              <w:right w:val="nil"/>
            </w:tcBorders>
          </w:tcPr>
          <w:p w:rsidR="002A1C41" w:rsidRPr="000A278C" w:rsidRDefault="002A1C41" w:rsidP="00CC3442">
            <w:pPr>
              <w:spacing w:line="288" w:lineRule="auto"/>
              <w:contextualSpacing/>
              <w:rPr>
                <w:szCs w:val="24"/>
              </w:rPr>
            </w:pPr>
            <w:r w:rsidRPr="000A278C">
              <w:rPr>
                <w:szCs w:val="24"/>
              </w:rPr>
              <w:t>Recovered</w:t>
            </w:r>
          </w:p>
        </w:tc>
        <w:tc>
          <w:tcPr>
            <w:tcW w:w="3081" w:type="dxa"/>
            <w:tcBorders>
              <w:left w:val="nil"/>
              <w:bottom w:val="nil"/>
              <w:right w:val="nil"/>
            </w:tcBorders>
          </w:tcPr>
          <w:p w:rsidR="002A1C41" w:rsidRPr="000A278C" w:rsidRDefault="002A1C41" w:rsidP="00CC3442">
            <w:pPr>
              <w:spacing w:line="288" w:lineRule="auto"/>
              <w:contextualSpacing/>
              <w:jc w:val="center"/>
              <w:rPr>
                <w:szCs w:val="24"/>
              </w:rPr>
            </w:pPr>
            <w:r w:rsidRPr="000A278C">
              <w:rPr>
                <w:szCs w:val="24"/>
              </w:rPr>
              <w:t>Yes</w:t>
            </w:r>
          </w:p>
        </w:tc>
        <w:tc>
          <w:tcPr>
            <w:tcW w:w="2736" w:type="dxa"/>
            <w:tcBorders>
              <w:left w:val="nil"/>
              <w:bottom w:val="nil"/>
              <w:right w:val="nil"/>
            </w:tcBorders>
          </w:tcPr>
          <w:p w:rsidR="002A1C41" w:rsidRPr="000A278C" w:rsidRDefault="002A1C41" w:rsidP="00CC3442">
            <w:pPr>
              <w:spacing w:line="288" w:lineRule="auto"/>
              <w:contextualSpacing/>
              <w:jc w:val="center"/>
              <w:rPr>
                <w:szCs w:val="24"/>
              </w:rPr>
            </w:pPr>
            <w:r w:rsidRPr="000A278C">
              <w:rPr>
                <w:szCs w:val="24"/>
              </w:rPr>
              <w:t>&gt;  1.96</w:t>
            </w:r>
          </w:p>
        </w:tc>
      </w:tr>
      <w:tr w:rsidR="002A1C41" w:rsidRPr="000A278C" w:rsidTr="00CC3442">
        <w:tc>
          <w:tcPr>
            <w:tcW w:w="3080" w:type="dxa"/>
            <w:tcBorders>
              <w:top w:val="nil"/>
              <w:left w:val="nil"/>
              <w:bottom w:val="nil"/>
              <w:right w:val="nil"/>
            </w:tcBorders>
          </w:tcPr>
          <w:p w:rsidR="002A1C41" w:rsidRPr="000A278C" w:rsidRDefault="002A1C41" w:rsidP="00CC3442">
            <w:pPr>
              <w:spacing w:line="288" w:lineRule="auto"/>
              <w:contextualSpacing/>
              <w:rPr>
                <w:szCs w:val="24"/>
              </w:rPr>
            </w:pPr>
            <w:r w:rsidRPr="000A278C">
              <w:rPr>
                <w:szCs w:val="24"/>
              </w:rPr>
              <w:t>Improved but not recovered</w:t>
            </w:r>
          </w:p>
        </w:tc>
        <w:tc>
          <w:tcPr>
            <w:tcW w:w="3081" w:type="dxa"/>
            <w:tcBorders>
              <w:top w:val="nil"/>
              <w:left w:val="nil"/>
              <w:bottom w:val="nil"/>
              <w:right w:val="nil"/>
            </w:tcBorders>
          </w:tcPr>
          <w:p w:rsidR="002A1C41" w:rsidRPr="000A278C" w:rsidRDefault="002A1C41" w:rsidP="00CC3442">
            <w:pPr>
              <w:spacing w:line="288" w:lineRule="auto"/>
              <w:contextualSpacing/>
              <w:jc w:val="center"/>
              <w:rPr>
                <w:szCs w:val="24"/>
              </w:rPr>
            </w:pPr>
            <w:r w:rsidRPr="000A278C">
              <w:rPr>
                <w:szCs w:val="24"/>
              </w:rPr>
              <w:t>No</w:t>
            </w:r>
          </w:p>
        </w:tc>
        <w:tc>
          <w:tcPr>
            <w:tcW w:w="2736" w:type="dxa"/>
            <w:tcBorders>
              <w:top w:val="nil"/>
              <w:left w:val="nil"/>
              <w:bottom w:val="nil"/>
              <w:right w:val="nil"/>
            </w:tcBorders>
          </w:tcPr>
          <w:p w:rsidR="002A1C41" w:rsidRPr="000A278C" w:rsidRDefault="002A1C41" w:rsidP="00CC3442">
            <w:pPr>
              <w:spacing w:line="288" w:lineRule="auto"/>
              <w:contextualSpacing/>
              <w:jc w:val="center"/>
              <w:rPr>
                <w:szCs w:val="24"/>
              </w:rPr>
            </w:pPr>
            <w:r w:rsidRPr="000A278C">
              <w:rPr>
                <w:szCs w:val="24"/>
              </w:rPr>
              <w:t>&gt;  1.96</w:t>
            </w:r>
          </w:p>
        </w:tc>
      </w:tr>
      <w:tr w:rsidR="002A1C41" w:rsidRPr="000A278C" w:rsidTr="00CC3442">
        <w:tc>
          <w:tcPr>
            <w:tcW w:w="3080" w:type="dxa"/>
            <w:tcBorders>
              <w:top w:val="nil"/>
              <w:left w:val="nil"/>
              <w:bottom w:val="nil"/>
              <w:right w:val="nil"/>
            </w:tcBorders>
          </w:tcPr>
          <w:p w:rsidR="002A1C41" w:rsidRPr="000A278C" w:rsidRDefault="002A1C41" w:rsidP="00CC3442">
            <w:pPr>
              <w:spacing w:line="288" w:lineRule="auto"/>
              <w:contextualSpacing/>
              <w:rPr>
                <w:szCs w:val="24"/>
              </w:rPr>
            </w:pPr>
            <w:r w:rsidRPr="000A278C">
              <w:rPr>
                <w:szCs w:val="24"/>
              </w:rPr>
              <w:t>Unchanged</w:t>
            </w:r>
          </w:p>
        </w:tc>
        <w:tc>
          <w:tcPr>
            <w:tcW w:w="3081" w:type="dxa"/>
            <w:tcBorders>
              <w:top w:val="nil"/>
              <w:left w:val="nil"/>
              <w:bottom w:val="nil"/>
              <w:right w:val="nil"/>
            </w:tcBorders>
          </w:tcPr>
          <w:p w:rsidR="002A1C41" w:rsidRPr="000A278C" w:rsidRDefault="002A1C41" w:rsidP="00CC3442">
            <w:pPr>
              <w:spacing w:line="288" w:lineRule="auto"/>
              <w:contextualSpacing/>
              <w:jc w:val="center"/>
              <w:rPr>
                <w:szCs w:val="24"/>
              </w:rPr>
            </w:pPr>
            <w:r w:rsidRPr="000A278C">
              <w:rPr>
                <w:szCs w:val="24"/>
              </w:rPr>
              <w:t>No</w:t>
            </w:r>
          </w:p>
        </w:tc>
        <w:tc>
          <w:tcPr>
            <w:tcW w:w="2736" w:type="dxa"/>
            <w:tcBorders>
              <w:top w:val="nil"/>
              <w:left w:val="nil"/>
              <w:bottom w:val="nil"/>
              <w:right w:val="nil"/>
            </w:tcBorders>
          </w:tcPr>
          <w:p w:rsidR="002A1C41" w:rsidRPr="000A278C" w:rsidRDefault="002A1C41" w:rsidP="00CC3442">
            <w:pPr>
              <w:spacing w:line="288" w:lineRule="auto"/>
              <w:contextualSpacing/>
              <w:jc w:val="center"/>
              <w:rPr>
                <w:szCs w:val="24"/>
              </w:rPr>
            </w:pPr>
            <w:r w:rsidRPr="000A278C">
              <w:rPr>
                <w:szCs w:val="24"/>
              </w:rPr>
              <w:t>- 1.96 &lt; 0 &gt; 1.96</w:t>
            </w:r>
          </w:p>
        </w:tc>
      </w:tr>
      <w:tr w:rsidR="002A1C41" w:rsidRPr="000A278C" w:rsidTr="00CC3442">
        <w:tc>
          <w:tcPr>
            <w:tcW w:w="3080" w:type="dxa"/>
            <w:tcBorders>
              <w:top w:val="nil"/>
              <w:left w:val="nil"/>
              <w:right w:val="nil"/>
            </w:tcBorders>
          </w:tcPr>
          <w:p w:rsidR="002A1C41" w:rsidRPr="000A278C" w:rsidRDefault="002A1C41" w:rsidP="00CC3442">
            <w:pPr>
              <w:spacing w:line="288" w:lineRule="auto"/>
              <w:contextualSpacing/>
              <w:rPr>
                <w:szCs w:val="24"/>
              </w:rPr>
            </w:pPr>
            <w:r w:rsidRPr="000A278C">
              <w:rPr>
                <w:szCs w:val="24"/>
              </w:rPr>
              <w:t>Deteriorated</w:t>
            </w:r>
          </w:p>
        </w:tc>
        <w:tc>
          <w:tcPr>
            <w:tcW w:w="3081" w:type="dxa"/>
            <w:tcBorders>
              <w:top w:val="nil"/>
              <w:left w:val="nil"/>
              <w:right w:val="nil"/>
            </w:tcBorders>
          </w:tcPr>
          <w:p w:rsidR="002A1C41" w:rsidRPr="000A278C" w:rsidRDefault="002A1C41" w:rsidP="00CC3442">
            <w:pPr>
              <w:spacing w:line="288" w:lineRule="auto"/>
              <w:contextualSpacing/>
              <w:jc w:val="center"/>
              <w:rPr>
                <w:szCs w:val="24"/>
              </w:rPr>
            </w:pPr>
            <w:r w:rsidRPr="000A278C">
              <w:rPr>
                <w:szCs w:val="24"/>
              </w:rPr>
              <w:t>No</w:t>
            </w:r>
          </w:p>
        </w:tc>
        <w:tc>
          <w:tcPr>
            <w:tcW w:w="2736" w:type="dxa"/>
            <w:tcBorders>
              <w:top w:val="nil"/>
              <w:left w:val="nil"/>
              <w:right w:val="nil"/>
            </w:tcBorders>
          </w:tcPr>
          <w:p w:rsidR="002A1C41" w:rsidRPr="000A278C" w:rsidRDefault="002A1C41" w:rsidP="00CC3442">
            <w:pPr>
              <w:spacing w:line="288" w:lineRule="auto"/>
              <w:contextualSpacing/>
              <w:jc w:val="center"/>
              <w:rPr>
                <w:szCs w:val="24"/>
              </w:rPr>
            </w:pPr>
            <w:r>
              <w:rPr>
                <w:szCs w:val="24"/>
              </w:rPr>
              <w:t>&lt;</w:t>
            </w:r>
            <w:r w:rsidRPr="000A278C">
              <w:rPr>
                <w:szCs w:val="24"/>
              </w:rPr>
              <w:t xml:space="preserve">  - 1.96</w:t>
            </w:r>
          </w:p>
        </w:tc>
      </w:tr>
    </w:tbl>
    <w:p w:rsidR="002A1C41" w:rsidRPr="00A344DB" w:rsidRDefault="002A1C41" w:rsidP="002A1C41"/>
    <w:p w:rsidR="00647E8F" w:rsidRDefault="002A1C41"/>
    <w:sectPr w:rsidR="00647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0E0"/>
    <w:rsid w:val="000260E0"/>
    <w:rsid w:val="002A1C41"/>
    <w:rsid w:val="00A00DB2"/>
    <w:rsid w:val="00E51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0E0"/>
    <w:pPr>
      <w:spacing w:after="0" w:line="360" w:lineRule="auto"/>
    </w:pPr>
    <w:rPr>
      <w:rFonts w:ascii="Times New Roman" w:eastAsia="Times New Roman" w:hAnsi="Times New Roman" w:cs="Times New Roman"/>
      <w:sz w:val="24"/>
      <w:szCs w:val="20"/>
    </w:rPr>
  </w:style>
  <w:style w:type="paragraph" w:styleId="Heading3">
    <w:name w:val="heading 3"/>
    <w:basedOn w:val="Normal"/>
    <w:next w:val="Normal"/>
    <w:link w:val="Heading3Char"/>
    <w:unhideWhenUsed/>
    <w:qFormat/>
    <w:rsid w:val="002A1C41"/>
    <w:pPr>
      <w:keepNext/>
      <w:outlineLvl w:val="2"/>
    </w:pPr>
    <w:rPr>
      <w:b/>
      <w:bCs/>
      <w:szCs w:val="26"/>
    </w:rPr>
  </w:style>
  <w:style w:type="paragraph" w:styleId="Heading4">
    <w:name w:val="heading 4"/>
    <w:basedOn w:val="Normal"/>
    <w:next w:val="Normal"/>
    <w:link w:val="Heading4Char"/>
    <w:unhideWhenUsed/>
    <w:qFormat/>
    <w:rsid w:val="002A1C41"/>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A1C41"/>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rsid w:val="002A1C41"/>
    <w:rPr>
      <w:rFonts w:ascii="Times New Roman" w:eastAsia="Times New Roman" w:hAnsi="Times New Roman" w:cs="Times New Roman"/>
      <w:b/>
      <w:bCs/>
      <w:sz w:val="24"/>
      <w:szCs w:val="28"/>
    </w:rPr>
  </w:style>
  <w:style w:type="paragraph" w:styleId="Caption">
    <w:name w:val="caption"/>
    <w:basedOn w:val="Normal"/>
    <w:next w:val="Normal"/>
    <w:link w:val="CaptionChar"/>
    <w:unhideWhenUsed/>
    <w:qFormat/>
    <w:rsid w:val="002A1C41"/>
    <w:rPr>
      <w:bCs/>
    </w:rPr>
  </w:style>
  <w:style w:type="character" w:customStyle="1" w:styleId="CaptionChar">
    <w:name w:val="Caption Char"/>
    <w:link w:val="Caption"/>
    <w:rsid w:val="002A1C41"/>
    <w:rPr>
      <w:rFonts w:ascii="Times New Roman" w:eastAsia="Times New Roman" w:hAnsi="Times New Roman" w:cs="Times New Roman"/>
      <w:bCs/>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0E0"/>
    <w:pPr>
      <w:spacing w:after="0" w:line="360" w:lineRule="auto"/>
    </w:pPr>
    <w:rPr>
      <w:rFonts w:ascii="Times New Roman" w:eastAsia="Times New Roman" w:hAnsi="Times New Roman" w:cs="Times New Roman"/>
      <w:sz w:val="24"/>
      <w:szCs w:val="20"/>
    </w:rPr>
  </w:style>
  <w:style w:type="paragraph" w:styleId="Heading3">
    <w:name w:val="heading 3"/>
    <w:basedOn w:val="Normal"/>
    <w:next w:val="Normal"/>
    <w:link w:val="Heading3Char"/>
    <w:unhideWhenUsed/>
    <w:qFormat/>
    <w:rsid w:val="002A1C41"/>
    <w:pPr>
      <w:keepNext/>
      <w:outlineLvl w:val="2"/>
    </w:pPr>
    <w:rPr>
      <w:b/>
      <w:bCs/>
      <w:szCs w:val="26"/>
    </w:rPr>
  </w:style>
  <w:style w:type="paragraph" w:styleId="Heading4">
    <w:name w:val="heading 4"/>
    <w:basedOn w:val="Normal"/>
    <w:next w:val="Normal"/>
    <w:link w:val="Heading4Char"/>
    <w:unhideWhenUsed/>
    <w:qFormat/>
    <w:rsid w:val="002A1C41"/>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A1C41"/>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rsid w:val="002A1C41"/>
    <w:rPr>
      <w:rFonts w:ascii="Times New Roman" w:eastAsia="Times New Roman" w:hAnsi="Times New Roman" w:cs="Times New Roman"/>
      <w:b/>
      <w:bCs/>
      <w:sz w:val="24"/>
      <w:szCs w:val="28"/>
    </w:rPr>
  </w:style>
  <w:style w:type="paragraph" w:styleId="Caption">
    <w:name w:val="caption"/>
    <w:basedOn w:val="Normal"/>
    <w:next w:val="Normal"/>
    <w:link w:val="CaptionChar"/>
    <w:unhideWhenUsed/>
    <w:qFormat/>
    <w:rsid w:val="002A1C41"/>
    <w:rPr>
      <w:bCs/>
    </w:rPr>
  </w:style>
  <w:style w:type="character" w:customStyle="1" w:styleId="CaptionChar">
    <w:name w:val="Caption Char"/>
    <w:link w:val="Caption"/>
    <w:rsid w:val="002A1C41"/>
    <w:rPr>
      <w:rFonts w:ascii="Times New Roman" w:eastAsia="Times New Roman" w:hAnsi="Times New Roman" w:cs="Times New Roman"/>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Lakkhina Troeung</dc:creator>
  <cp:lastModifiedBy>Lakkhina Troeung</cp:lastModifiedBy>
  <cp:revision>2</cp:revision>
  <dcterms:created xsi:type="dcterms:W3CDTF">2013-12-16T04:13:00Z</dcterms:created>
  <dcterms:modified xsi:type="dcterms:W3CDTF">2013-12-16T04:13:00Z</dcterms:modified>
</cp:coreProperties>
</file>