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A8" w:rsidRDefault="00EE46A8" w:rsidP="00EE46A8">
      <w:pPr>
        <w:rPr>
          <w:noProof/>
          <w:lang w:eastAsia="en-AU"/>
        </w:rPr>
      </w:pPr>
      <w:r>
        <w:rPr>
          <w:noProof/>
          <w:lang w:eastAsia="en-AU"/>
        </w:rPr>
        <w:t>Figure 1. Mean number of decayed, missing and filled permanent teeth (DMFT) for pre-teen and teenage children in New South Wales, 1990-2010.</w:t>
      </w:r>
    </w:p>
    <w:p w:rsidR="00EE46A8" w:rsidRDefault="00EE46A8" w:rsidP="00EE46A8">
      <w:pPr>
        <w:spacing w:line="480" w:lineRule="auto"/>
        <w:rPr>
          <w:noProof/>
          <w:lang w:eastAsia="en-AU"/>
        </w:rPr>
      </w:pPr>
    </w:p>
    <w:p w:rsidR="00EE46A8" w:rsidRDefault="00EE46A8" w:rsidP="00EE46A8">
      <w:pPr>
        <w:rPr>
          <w:noProof/>
          <w:lang w:eastAsia="en-AU"/>
        </w:rPr>
      </w:pPr>
      <w:r>
        <w:rPr>
          <w:noProof/>
          <w:lang w:val="en-US" w:eastAsia="en-US"/>
        </w:rPr>
        <w:drawing>
          <wp:inline distT="0" distB="0" distL="0" distR="0">
            <wp:extent cx="5245235" cy="3085957"/>
            <wp:effectExtent l="19050" t="0" r="12565" b="143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E46A8" w:rsidRDefault="00EE46A8" w:rsidP="00EE46A8">
      <w:pPr>
        <w:rPr>
          <w:noProof/>
          <w:lang w:eastAsia="en-AU"/>
        </w:rPr>
      </w:pPr>
    </w:p>
    <w:sectPr w:rsidR="00EE46A8" w:rsidSect="004F2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46A8"/>
    <w:rsid w:val="004F2C4D"/>
    <w:rsid w:val="00914193"/>
    <w:rsid w:val="00D34590"/>
    <w:rsid w:val="00EE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6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46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6A8"/>
    <w:rPr>
      <w:rFonts w:ascii="Tahoma" w:eastAsia="Times New Roman" w:hAnsi="Tahoma" w:cs="Tahoma"/>
      <w:sz w:val="16"/>
      <w:szCs w:val="16"/>
      <w:lang w:val="en-A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I:\Phd%202011\First%20Journal%20Article%20BMC\summary%20of%20DMFT%202000%20to%202010%2029%20June%202012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6.6440874431746164E-2"/>
          <c:y val="2.5114413454238017E-2"/>
          <c:w val="0.79278793037871531"/>
          <c:h val="0.73898631769658496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11</c:v>
                </c:pt>
              </c:strCache>
            </c:strRef>
          </c:tx>
          <c:cat>
            <c:strRef>
              <c:f>Sheet1!$B$1:$P$1</c:f>
              <c:strCache>
                <c:ptCount val="15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2001-2006</c:v>
                </c:pt>
                <c:pt idx="12">
                  <c:v>2007</c:v>
                </c:pt>
                <c:pt idx="13">
                  <c:v>2008-2009</c:v>
                </c:pt>
                <c:pt idx="14">
                  <c:v>2010</c:v>
                </c:pt>
              </c:strCache>
            </c:strRef>
          </c:cat>
          <c:val>
            <c:numRef>
              <c:f>Sheet1!$B$2:$P$2</c:f>
              <c:numCache>
                <c:formatCode>General</c:formatCode>
                <c:ptCount val="15"/>
                <c:pt idx="0">
                  <c:v>0.88</c:v>
                </c:pt>
                <c:pt idx="1">
                  <c:v>0.83000000000000018</c:v>
                </c:pt>
                <c:pt idx="2">
                  <c:v>0.84000000000000019</c:v>
                </c:pt>
                <c:pt idx="3">
                  <c:v>0.77000000000000024</c:v>
                </c:pt>
                <c:pt idx="4">
                  <c:v>0.81</c:v>
                </c:pt>
                <c:pt idx="5">
                  <c:v>0.62000000000000022</c:v>
                </c:pt>
                <c:pt idx="6">
                  <c:v>0.89039999999999997</c:v>
                </c:pt>
                <c:pt idx="7">
                  <c:v>0.80639999999999989</c:v>
                </c:pt>
                <c:pt idx="8">
                  <c:v>0.55000000000000004</c:v>
                </c:pt>
                <c:pt idx="9">
                  <c:v>0.5</c:v>
                </c:pt>
                <c:pt idx="10">
                  <c:v>0.58000000000000007</c:v>
                </c:pt>
                <c:pt idx="12">
                  <c:v>0.7200000000000002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12</c:v>
                </c:pt>
              </c:strCache>
            </c:strRef>
          </c:tx>
          <c:cat>
            <c:strRef>
              <c:f>Sheet1!$B$1:$P$1</c:f>
              <c:strCache>
                <c:ptCount val="15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2001-2006</c:v>
                </c:pt>
                <c:pt idx="12">
                  <c:v>2007</c:v>
                </c:pt>
                <c:pt idx="13">
                  <c:v>2008-2009</c:v>
                </c:pt>
                <c:pt idx="14">
                  <c:v>2010</c:v>
                </c:pt>
              </c:strCache>
            </c:strRef>
          </c:cat>
          <c:val>
            <c:numRef>
              <c:f>Sheet1!$B$3:$P$3</c:f>
              <c:numCache>
                <c:formatCode>General</c:formatCode>
                <c:ptCount val="15"/>
                <c:pt idx="0">
                  <c:v>1.31</c:v>
                </c:pt>
                <c:pt idx="1">
                  <c:v>1.1800000000000004</c:v>
                </c:pt>
                <c:pt idx="2">
                  <c:v>1.1900000000000004</c:v>
                </c:pt>
                <c:pt idx="3">
                  <c:v>1.04</c:v>
                </c:pt>
                <c:pt idx="4">
                  <c:v>1.1100000000000001</c:v>
                </c:pt>
                <c:pt idx="5">
                  <c:v>0.93</c:v>
                </c:pt>
                <c:pt idx="6">
                  <c:v>1.0751999999999995</c:v>
                </c:pt>
                <c:pt idx="7">
                  <c:v>1.0751999999999995</c:v>
                </c:pt>
                <c:pt idx="8">
                  <c:v>0.65000000000000024</c:v>
                </c:pt>
                <c:pt idx="9">
                  <c:v>0.74000000000000021</c:v>
                </c:pt>
                <c:pt idx="10">
                  <c:v>0.7300000000000002</c:v>
                </c:pt>
                <c:pt idx="12">
                  <c:v>0.75000000000000022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13</c:v>
                </c:pt>
              </c:strCache>
            </c:strRef>
          </c:tx>
          <c:cat>
            <c:strRef>
              <c:f>Sheet1!$B$1:$P$1</c:f>
              <c:strCache>
                <c:ptCount val="15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2001-2006</c:v>
                </c:pt>
                <c:pt idx="12">
                  <c:v>2007</c:v>
                </c:pt>
                <c:pt idx="13">
                  <c:v>2008-2009</c:v>
                </c:pt>
                <c:pt idx="14">
                  <c:v>2010</c:v>
                </c:pt>
              </c:strCache>
            </c:strRef>
          </c:cat>
          <c:val>
            <c:numRef>
              <c:f>Sheet1!$B$4:$P$4</c:f>
              <c:numCache>
                <c:formatCode>General</c:formatCode>
                <c:ptCount val="15"/>
                <c:pt idx="0">
                  <c:v>1.9000000000000001</c:v>
                </c:pt>
                <c:pt idx="1">
                  <c:v>1.6400000000000001</c:v>
                </c:pt>
                <c:pt idx="2">
                  <c:v>1.52</c:v>
                </c:pt>
                <c:pt idx="3">
                  <c:v>1.6900000000000004</c:v>
                </c:pt>
                <c:pt idx="4">
                  <c:v>2.2008000000000001</c:v>
                </c:pt>
                <c:pt idx="5">
                  <c:v>1.31</c:v>
                </c:pt>
                <c:pt idx="6">
                  <c:v>1.31</c:v>
                </c:pt>
                <c:pt idx="7">
                  <c:v>1.3271999999999995</c:v>
                </c:pt>
                <c:pt idx="8">
                  <c:v>0.89</c:v>
                </c:pt>
                <c:pt idx="9">
                  <c:v>0.67000000000000026</c:v>
                </c:pt>
                <c:pt idx="10">
                  <c:v>0.86000000000000021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14</c:v>
                </c:pt>
              </c:strCache>
            </c:strRef>
          </c:tx>
          <c:cat>
            <c:strRef>
              <c:f>Sheet1!$B$1:$P$1</c:f>
              <c:strCache>
                <c:ptCount val="15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2001-2006</c:v>
                </c:pt>
                <c:pt idx="12">
                  <c:v>2007</c:v>
                </c:pt>
                <c:pt idx="13">
                  <c:v>2008-2009</c:v>
                </c:pt>
                <c:pt idx="14">
                  <c:v>2010</c:v>
                </c:pt>
              </c:strCache>
            </c:strRef>
          </c:cat>
          <c:val>
            <c:numRef>
              <c:f>Sheet1!$B$5:$P$5</c:f>
              <c:numCache>
                <c:formatCode>General</c:formatCode>
                <c:ptCount val="15"/>
                <c:pt idx="0">
                  <c:v>2.65</c:v>
                </c:pt>
                <c:pt idx="1">
                  <c:v>2.9</c:v>
                </c:pt>
                <c:pt idx="2">
                  <c:v>1.9800000000000004</c:v>
                </c:pt>
                <c:pt idx="3">
                  <c:v>1.86</c:v>
                </c:pt>
                <c:pt idx="4">
                  <c:v>1.9500000000000004</c:v>
                </c:pt>
                <c:pt idx="5">
                  <c:v>1.6500000000000001</c:v>
                </c:pt>
                <c:pt idx="6">
                  <c:v>1.8144</c:v>
                </c:pt>
                <c:pt idx="7">
                  <c:v>1.3943999999999999</c:v>
                </c:pt>
                <c:pt idx="8">
                  <c:v>1.03</c:v>
                </c:pt>
                <c:pt idx="9">
                  <c:v>1.06</c:v>
                </c:pt>
                <c:pt idx="10">
                  <c:v>1.08</c:v>
                </c:pt>
                <c:pt idx="14">
                  <c:v>1.1700000000000004</c:v>
                </c:pt>
              </c:numCache>
            </c:numRef>
          </c:val>
        </c:ser>
        <c:marker val="1"/>
        <c:axId val="194908544"/>
        <c:axId val="194910080"/>
      </c:lineChart>
      <c:catAx>
        <c:axId val="194908544"/>
        <c:scaling>
          <c:orientation val="minMax"/>
        </c:scaling>
        <c:axPos val="b"/>
        <c:numFmt formatCode="General" sourceLinked="1"/>
        <c:tickLblPos val="nextTo"/>
        <c:crossAx val="194910080"/>
        <c:crosses val="autoZero"/>
        <c:auto val="1"/>
        <c:lblAlgn val="ctr"/>
        <c:lblOffset val="100"/>
      </c:catAx>
      <c:valAx>
        <c:axId val="194910080"/>
        <c:scaling>
          <c:orientation val="minMax"/>
        </c:scaling>
        <c:axPos val="l"/>
        <c:majorGridlines/>
        <c:numFmt formatCode="General" sourceLinked="1"/>
        <c:tickLblPos val="nextTo"/>
        <c:crossAx val="19490854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 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2012-09-03T04:17:00Z</dcterms:created>
  <dcterms:modified xsi:type="dcterms:W3CDTF">2012-09-03T04:18:00Z</dcterms:modified>
</cp:coreProperties>
</file>