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14" w:rsidRDefault="00916F14" w:rsidP="00916F14">
      <w:r>
        <w:rPr>
          <w:noProof/>
          <w:lang w:eastAsia="en-AU"/>
        </w:rPr>
        <w:t>Figure 2. Geographical Distribution of DMFT for 14 and 15 year olds, by Local Health District, NSW 2010.</w:t>
      </w:r>
    </w:p>
    <w:p w:rsidR="006F47FF" w:rsidRDefault="00916F14">
      <w:r>
        <w:rPr>
          <w:noProof/>
        </w:rPr>
        <w:drawing>
          <wp:inline distT="0" distB="0" distL="0" distR="0">
            <wp:extent cx="5267325" cy="7448550"/>
            <wp:effectExtent l="19050" t="0" r="9525" b="0"/>
            <wp:docPr id="1" name="Picture 1" descr="grey DMFT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ey DMFT Ma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7FF" w:rsidSect="004F2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6F14"/>
    <w:rsid w:val="004F2C4D"/>
    <w:rsid w:val="00914193"/>
    <w:rsid w:val="00916F14"/>
    <w:rsid w:val="00D34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F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F14"/>
    <w:pPr>
      <w:suppressAutoHyphens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> 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2012-09-03T04:31:00Z</dcterms:created>
  <dcterms:modified xsi:type="dcterms:W3CDTF">2012-09-03T04:32:00Z</dcterms:modified>
</cp:coreProperties>
</file>