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803" w:rsidRPr="00D72C24" w:rsidRDefault="008C0803" w:rsidP="008C0803">
      <w:pPr>
        <w:pStyle w:val="Caption"/>
        <w:spacing w:after="0" w:line="240" w:lineRule="auto"/>
        <w:jc w:val="left"/>
        <w:rPr>
          <w:rFonts w:ascii="Times New Roman" w:hAnsi="Times New Roman" w:cs="Times New Roman"/>
          <w:b w:val="0"/>
          <w:i/>
          <w:sz w:val="20"/>
          <w:szCs w:val="20"/>
        </w:rPr>
      </w:pPr>
      <w:r w:rsidRPr="00D72C24">
        <w:rPr>
          <w:rFonts w:ascii="Times New Roman" w:hAnsi="Times New Roman" w:cs="Times New Roman"/>
          <w:sz w:val="20"/>
          <w:szCs w:val="20"/>
        </w:rPr>
        <w:t xml:space="preserve">Table </w:t>
      </w:r>
      <w:r>
        <w:rPr>
          <w:rFonts w:ascii="Times New Roman" w:hAnsi="Times New Roman" w:cs="Times New Roman"/>
          <w:sz w:val="20"/>
          <w:szCs w:val="20"/>
        </w:rPr>
        <w:t>S3</w:t>
      </w:r>
      <w:r w:rsidRPr="00D72C24">
        <w:rPr>
          <w:rFonts w:ascii="Times New Roman" w:hAnsi="Times New Roman" w:cs="Times New Roman"/>
          <w:sz w:val="20"/>
          <w:szCs w:val="20"/>
        </w:rPr>
        <w:t xml:space="preserve"> </w:t>
      </w:r>
      <w:proofErr w:type="gramStart"/>
      <w:r w:rsidRPr="00D72C24">
        <w:rPr>
          <w:rFonts w:ascii="Times New Roman" w:hAnsi="Times New Roman" w:cs="Times New Roman"/>
          <w:sz w:val="20"/>
          <w:szCs w:val="20"/>
        </w:rPr>
        <w:t>The</w:t>
      </w:r>
      <w:proofErr w:type="gramEnd"/>
      <w:r w:rsidRPr="00D72C24">
        <w:rPr>
          <w:rFonts w:ascii="Times New Roman" w:hAnsi="Times New Roman" w:cs="Times New Roman"/>
          <w:sz w:val="20"/>
          <w:szCs w:val="20"/>
        </w:rPr>
        <w:t xml:space="preserve"> Cochrane Collaboration’s tool for assessing risk of bias (5 trials, 7 papers)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4"/>
        <w:gridCol w:w="1624"/>
        <w:gridCol w:w="1624"/>
        <w:gridCol w:w="1624"/>
        <w:gridCol w:w="1624"/>
        <w:gridCol w:w="1624"/>
        <w:gridCol w:w="1624"/>
        <w:gridCol w:w="1624"/>
        <w:gridCol w:w="1624"/>
      </w:tblGrid>
      <w:tr w:rsidR="008C0803" w:rsidRPr="009E2CE4" w:rsidTr="008B750E">
        <w:trPr>
          <w:trHeight w:val="668"/>
        </w:trPr>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Author, year</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Random sequence generation</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Allocation concealment</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 xml:space="preserve">Blinding of </w:t>
            </w:r>
            <w:proofErr w:type="spellStart"/>
            <w:r w:rsidRPr="009E2CE4">
              <w:rPr>
                <w:rFonts w:ascii="Times New Roman" w:hAnsi="Times New Roman" w:cs="Times New Roman"/>
                <w:b/>
                <w:sz w:val="20"/>
                <w:szCs w:val="20"/>
              </w:rPr>
              <w:t>personnel</w:t>
            </w:r>
            <w:r w:rsidRPr="009E2CE4">
              <w:rPr>
                <w:rFonts w:ascii="Times New Roman" w:hAnsi="Times New Roman" w:cs="Times New Roman"/>
                <w:b/>
                <w:sz w:val="20"/>
                <w:szCs w:val="20"/>
                <w:vertAlign w:val="superscript"/>
              </w:rPr>
              <w:t>a</w:t>
            </w:r>
            <w:proofErr w:type="spellEnd"/>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Blinding of outcome assessment</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 xml:space="preserve">Incomplete outcome </w:t>
            </w:r>
            <w:proofErr w:type="spellStart"/>
            <w:r w:rsidRPr="009E2CE4">
              <w:rPr>
                <w:rFonts w:ascii="Times New Roman" w:hAnsi="Times New Roman" w:cs="Times New Roman"/>
                <w:b/>
                <w:sz w:val="20"/>
                <w:szCs w:val="20"/>
              </w:rPr>
              <w:t>data</w:t>
            </w:r>
            <w:r w:rsidRPr="009E2CE4">
              <w:rPr>
                <w:rFonts w:ascii="Times New Roman" w:hAnsi="Times New Roman" w:cs="Times New Roman"/>
                <w:b/>
                <w:sz w:val="20"/>
                <w:szCs w:val="20"/>
                <w:vertAlign w:val="superscript"/>
              </w:rPr>
              <w:t>b</w:t>
            </w:r>
            <w:proofErr w:type="spellEnd"/>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 xml:space="preserve">Selective </w:t>
            </w:r>
          </w:p>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reporting</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Free of other bias</w:t>
            </w:r>
          </w:p>
        </w:tc>
        <w:tc>
          <w:tcPr>
            <w:tcW w:w="1624" w:type="dxa"/>
          </w:tcPr>
          <w:p w:rsidR="008C0803" w:rsidRPr="009E2CE4" w:rsidRDefault="008C0803" w:rsidP="008B750E">
            <w:pPr>
              <w:keepNext/>
              <w:keepLines/>
              <w:spacing w:after="0" w:line="240" w:lineRule="auto"/>
              <w:jc w:val="left"/>
              <w:rPr>
                <w:rFonts w:ascii="Times New Roman" w:hAnsi="Times New Roman" w:cs="Times New Roman"/>
                <w:b/>
                <w:sz w:val="20"/>
                <w:szCs w:val="20"/>
              </w:rPr>
            </w:pPr>
            <w:r w:rsidRPr="009E2CE4">
              <w:rPr>
                <w:rFonts w:ascii="Times New Roman" w:hAnsi="Times New Roman" w:cs="Times New Roman"/>
                <w:b/>
                <w:sz w:val="20"/>
                <w:szCs w:val="20"/>
              </w:rPr>
              <w:t xml:space="preserve">Overall risk of </w:t>
            </w:r>
            <w:proofErr w:type="spellStart"/>
            <w:r w:rsidRPr="009E2CE4">
              <w:rPr>
                <w:rFonts w:ascii="Times New Roman" w:hAnsi="Times New Roman" w:cs="Times New Roman"/>
                <w:b/>
                <w:sz w:val="20"/>
                <w:szCs w:val="20"/>
              </w:rPr>
              <w:t>bias</w:t>
            </w:r>
            <w:r w:rsidRPr="009E2CE4">
              <w:rPr>
                <w:rFonts w:ascii="Times New Roman" w:hAnsi="Times New Roman" w:cs="Times New Roman"/>
                <w:b/>
                <w:sz w:val="20"/>
                <w:szCs w:val="20"/>
                <w:vertAlign w:val="superscript"/>
              </w:rPr>
              <w:t>c</w:t>
            </w:r>
            <w:proofErr w:type="spellEnd"/>
          </w:p>
        </w:tc>
      </w:tr>
      <w:tr w:rsidR="008C0803" w:rsidRPr="009E2CE4" w:rsidTr="008B750E">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Cohen, 2009</w:t>
            </w:r>
          </w:p>
          <w:p w:rsidR="008C0803" w:rsidRPr="009E2CE4" w:rsidRDefault="008C0803" w:rsidP="008B750E">
            <w:pPr>
              <w:spacing w:after="0" w:line="240" w:lineRule="auto"/>
              <w:jc w:val="left"/>
              <w:rPr>
                <w:rFonts w:ascii="Times New Roman" w:hAnsi="Times New Roman" w:cs="Times New Roman"/>
                <w:sz w:val="20"/>
                <w:szCs w:val="20"/>
              </w:rPr>
            </w:pP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High - small sample size </w:t>
            </w:r>
          </w:p>
        </w:tc>
        <w:tc>
          <w:tcPr>
            <w:tcW w:w="1624" w:type="dxa"/>
          </w:tcPr>
          <w:p w:rsidR="008C0803" w:rsidRPr="009E2CE4" w:rsidRDefault="008C0803" w:rsidP="008B750E">
            <w:pPr>
              <w:keepNext/>
              <w:keepLines/>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r>
      <w:tr w:rsidR="008C0803" w:rsidRPr="009E2CE4" w:rsidTr="008B750E">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Experience </w:t>
            </w:r>
            <w:proofErr w:type="spellStart"/>
            <w:r w:rsidRPr="009E2CE4">
              <w:rPr>
                <w:rFonts w:ascii="Times New Roman" w:hAnsi="Times New Roman" w:cs="Times New Roman"/>
                <w:sz w:val="20"/>
                <w:szCs w:val="20"/>
              </w:rPr>
              <w:t>Corps</w:t>
            </w:r>
            <w:r w:rsidRPr="009E2CE4">
              <w:rPr>
                <w:rFonts w:ascii="Times New Roman" w:hAnsi="Times New Roman" w:cs="Times New Roman"/>
                <w:sz w:val="20"/>
                <w:szCs w:val="20"/>
                <w:vertAlign w:val="superscript"/>
              </w:rPr>
              <w:t>d</w:t>
            </w:r>
            <w:proofErr w:type="spellEnd"/>
            <w:r w:rsidRPr="009E2CE4">
              <w:rPr>
                <w:rFonts w:ascii="Times New Roman" w:hAnsi="Times New Roman" w:cs="Times New Roman"/>
                <w:sz w:val="20"/>
                <w:szCs w:val="20"/>
                <w:vertAlign w:val="superscript"/>
              </w:rPr>
              <w:t xml:space="preserve"> </w:t>
            </w:r>
            <w:r w:rsidRPr="009E2CE4">
              <w:rPr>
                <w:rFonts w:ascii="Times New Roman" w:hAnsi="Times New Roman" w:cs="Times New Roman"/>
                <w:sz w:val="20"/>
                <w:szCs w:val="20"/>
              </w:rPr>
              <w:t>(refers to Carlson et al, 2008, Fried et al, 2004 and Tan et al, 2006)</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highlight w:val="cyan"/>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High - small sample size </w:t>
            </w:r>
          </w:p>
        </w:tc>
        <w:tc>
          <w:tcPr>
            <w:tcW w:w="1624" w:type="dxa"/>
          </w:tcPr>
          <w:p w:rsidR="008C0803" w:rsidRPr="009E2CE4" w:rsidRDefault="008C0803" w:rsidP="008B750E">
            <w:pPr>
              <w:keepNext/>
              <w:keepLines/>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Moderate</w:t>
            </w:r>
          </w:p>
        </w:tc>
      </w:tr>
      <w:tr w:rsidR="008C0803" w:rsidRPr="009E2CE4" w:rsidTr="008B750E">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George &amp; Singer, 2011</w:t>
            </w:r>
          </w:p>
          <w:p w:rsidR="008C0803" w:rsidRPr="009E2CE4" w:rsidRDefault="008C0803" w:rsidP="008B750E">
            <w:pPr>
              <w:spacing w:after="0" w:line="240" w:lineRule="auto"/>
              <w:jc w:val="left"/>
              <w:rPr>
                <w:rFonts w:ascii="Times New Roman" w:hAnsi="Times New Roman" w:cs="Times New Roman"/>
                <w:sz w:val="20"/>
                <w:szCs w:val="20"/>
              </w:rPr>
            </w:pP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Low </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High - small sample size </w:t>
            </w:r>
          </w:p>
        </w:tc>
        <w:tc>
          <w:tcPr>
            <w:tcW w:w="1624" w:type="dxa"/>
          </w:tcPr>
          <w:p w:rsidR="008C0803" w:rsidRPr="009E2CE4" w:rsidRDefault="008C0803" w:rsidP="008B750E">
            <w:pPr>
              <w:keepNext/>
              <w:keepLines/>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r>
      <w:tr w:rsidR="008C0803" w:rsidRPr="009E2CE4" w:rsidTr="008B750E">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Rook &amp; </w:t>
            </w:r>
            <w:proofErr w:type="spellStart"/>
            <w:r w:rsidRPr="009E2CE4">
              <w:rPr>
                <w:rFonts w:ascii="Times New Roman" w:hAnsi="Times New Roman" w:cs="Times New Roman"/>
                <w:sz w:val="20"/>
                <w:szCs w:val="20"/>
              </w:rPr>
              <w:t>Sorkin</w:t>
            </w:r>
            <w:proofErr w:type="spellEnd"/>
            <w:r w:rsidRPr="009E2CE4">
              <w:rPr>
                <w:rFonts w:ascii="Times New Roman" w:hAnsi="Times New Roman" w:cs="Times New Roman"/>
                <w:sz w:val="20"/>
                <w:szCs w:val="20"/>
              </w:rPr>
              <w:t>, 2003</w:t>
            </w:r>
            <w:r w:rsidRPr="009E2CE4">
              <w:rPr>
                <w:rFonts w:ascii="Times New Roman" w:hAnsi="Times New Roman" w:cs="Times New Roman"/>
                <w:sz w:val="20"/>
                <w:szCs w:val="20"/>
                <w:vertAlign w:val="superscript"/>
              </w:rPr>
              <w:t>e</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p w:rsidR="008C0803" w:rsidRPr="009E2CE4" w:rsidRDefault="008C0803" w:rsidP="008B750E">
            <w:pPr>
              <w:spacing w:after="0" w:line="240" w:lineRule="auto"/>
              <w:jc w:val="left"/>
              <w:rPr>
                <w:rFonts w:ascii="Times New Roman" w:hAnsi="Times New Roman" w:cs="Times New Roman"/>
                <w:sz w:val="20"/>
                <w:szCs w:val="20"/>
              </w:rPr>
            </w:pP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 xml:space="preserve">High - small sample size </w:t>
            </w:r>
          </w:p>
        </w:tc>
        <w:tc>
          <w:tcPr>
            <w:tcW w:w="1624" w:type="dxa"/>
          </w:tcPr>
          <w:p w:rsidR="008C0803" w:rsidRPr="009E2CE4" w:rsidRDefault="008C0803" w:rsidP="008B750E">
            <w:pPr>
              <w:keepNext/>
              <w:keepLines/>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r>
      <w:tr w:rsidR="008C0803" w:rsidRPr="009E2CE4" w:rsidTr="008B750E">
        <w:trPr>
          <w:trHeight w:val="360"/>
        </w:trPr>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Yuen et al, 2008</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Unclear</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Low</w:t>
            </w:r>
          </w:p>
        </w:tc>
        <w:tc>
          <w:tcPr>
            <w:tcW w:w="1624" w:type="dxa"/>
          </w:tcPr>
          <w:p w:rsidR="008C0803" w:rsidRPr="009E2CE4" w:rsidRDefault="008C0803" w:rsidP="008B750E">
            <w:pPr>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 - small sample size</w:t>
            </w:r>
          </w:p>
        </w:tc>
        <w:tc>
          <w:tcPr>
            <w:tcW w:w="1624" w:type="dxa"/>
          </w:tcPr>
          <w:p w:rsidR="008C0803" w:rsidRPr="009E2CE4" w:rsidRDefault="008C0803" w:rsidP="008B750E">
            <w:pPr>
              <w:keepNext/>
              <w:keepLines/>
              <w:spacing w:after="0" w:line="240" w:lineRule="auto"/>
              <w:jc w:val="left"/>
              <w:rPr>
                <w:rFonts w:ascii="Times New Roman" w:hAnsi="Times New Roman" w:cs="Times New Roman"/>
                <w:sz w:val="20"/>
                <w:szCs w:val="20"/>
              </w:rPr>
            </w:pPr>
            <w:r w:rsidRPr="009E2CE4">
              <w:rPr>
                <w:rFonts w:ascii="Times New Roman" w:hAnsi="Times New Roman" w:cs="Times New Roman"/>
                <w:sz w:val="20"/>
                <w:szCs w:val="20"/>
              </w:rPr>
              <w:t>High</w:t>
            </w:r>
          </w:p>
        </w:tc>
      </w:tr>
    </w:tbl>
    <w:p w:rsidR="008C0803" w:rsidRPr="00D72C24" w:rsidRDefault="008C0803" w:rsidP="008C0803">
      <w:pPr>
        <w:spacing w:after="0" w:line="240" w:lineRule="auto"/>
        <w:rPr>
          <w:rFonts w:ascii="Times New Roman" w:hAnsi="Times New Roman" w:cs="Times New Roman"/>
          <w:sz w:val="20"/>
          <w:szCs w:val="20"/>
        </w:rPr>
      </w:pPr>
      <w:proofErr w:type="gramStart"/>
      <w:r w:rsidRPr="00D72C24">
        <w:rPr>
          <w:rFonts w:ascii="Times New Roman" w:hAnsi="Times New Roman" w:cs="Times New Roman"/>
          <w:sz w:val="20"/>
          <w:szCs w:val="20"/>
          <w:vertAlign w:val="superscript"/>
        </w:rPr>
        <w:t>a</w:t>
      </w:r>
      <w:proofErr w:type="gramEnd"/>
      <w:r w:rsidRPr="00D72C24">
        <w:rPr>
          <w:rFonts w:ascii="Times New Roman" w:hAnsi="Times New Roman" w:cs="Times New Roman"/>
          <w:sz w:val="20"/>
          <w:szCs w:val="20"/>
        </w:rPr>
        <w:t xml:space="preserve"> Impossible to blind participants to group allocation. Current application of the Cochrane criteria assumes that lack of participant blinding is problematic, but this is a flexible judgment according to the guidance notes. </w:t>
      </w:r>
    </w:p>
    <w:p w:rsidR="008C0803" w:rsidRPr="00D72C24" w:rsidRDefault="008C0803" w:rsidP="008C0803">
      <w:pPr>
        <w:spacing w:after="0" w:line="240" w:lineRule="auto"/>
        <w:rPr>
          <w:rFonts w:ascii="Times New Roman" w:hAnsi="Times New Roman" w:cs="Times New Roman"/>
          <w:sz w:val="20"/>
          <w:szCs w:val="20"/>
        </w:rPr>
      </w:pPr>
      <w:proofErr w:type="gramStart"/>
      <w:r w:rsidRPr="00D72C24">
        <w:rPr>
          <w:rFonts w:ascii="Times New Roman" w:hAnsi="Times New Roman" w:cs="Times New Roman"/>
          <w:sz w:val="20"/>
          <w:szCs w:val="20"/>
          <w:vertAlign w:val="superscript"/>
        </w:rPr>
        <w:t>b</w:t>
      </w:r>
      <w:proofErr w:type="gramEnd"/>
      <w:r w:rsidRPr="00D72C24">
        <w:rPr>
          <w:rFonts w:ascii="Times New Roman" w:hAnsi="Times New Roman" w:cs="Times New Roman"/>
          <w:sz w:val="20"/>
          <w:szCs w:val="20"/>
        </w:rPr>
        <w:t xml:space="preserve"> A loss to follow-up (excluding death) of &gt;20% in either group, or in the cohort as a whole was defined as evidence of unacceptably high attrition. </w:t>
      </w:r>
    </w:p>
    <w:p w:rsidR="008C0803" w:rsidRPr="00D72C24" w:rsidRDefault="008C0803" w:rsidP="008C0803">
      <w:pPr>
        <w:spacing w:after="0" w:line="240" w:lineRule="auto"/>
        <w:rPr>
          <w:rFonts w:ascii="Times New Roman" w:hAnsi="Times New Roman" w:cs="Times New Roman"/>
          <w:sz w:val="20"/>
          <w:szCs w:val="20"/>
        </w:rPr>
      </w:pPr>
      <w:r w:rsidRPr="00D72C24">
        <w:rPr>
          <w:rFonts w:ascii="Times New Roman" w:hAnsi="Times New Roman" w:cs="Times New Roman"/>
          <w:sz w:val="20"/>
          <w:szCs w:val="20"/>
          <w:vertAlign w:val="superscript"/>
        </w:rPr>
        <w:t>c</w:t>
      </w:r>
      <w:r w:rsidRPr="00D72C24">
        <w:rPr>
          <w:rFonts w:ascii="Times New Roman" w:hAnsi="Times New Roman" w:cs="Times New Roman"/>
          <w:sz w:val="20"/>
          <w:szCs w:val="20"/>
        </w:rPr>
        <w:t xml:space="preserve"> The two domains ‘random sequence generation’ and ‘incomplete outcome data’ were prioritised as non-representative samples and high attrition rates are considered major threats to the external validity of community based studies. The overall risk of bias score was generated for each study using the scores for these two domains:</w:t>
      </w:r>
    </w:p>
    <w:p w:rsidR="008C0803" w:rsidRPr="00D72C24" w:rsidRDefault="008C0803" w:rsidP="008C0803">
      <w:pPr>
        <w:spacing w:after="0" w:line="240" w:lineRule="auto"/>
        <w:rPr>
          <w:rFonts w:ascii="Times New Roman" w:hAnsi="Times New Roman" w:cs="Times New Roman"/>
          <w:sz w:val="20"/>
          <w:szCs w:val="20"/>
        </w:rPr>
      </w:pPr>
      <w:r w:rsidRPr="00D72C24">
        <w:rPr>
          <w:rFonts w:ascii="Times New Roman" w:hAnsi="Times New Roman" w:cs="Times New Roman"/>
          <w:sz w:val="20"/>
          <w:szCs w:val="20"/>
        </w:rPr>
        <w:tab/>
        <w:t>High risk of bias</w:t>
      </w:r>
      <w:r w:rsidRPr="00D72C24">
        <w:rPr>
          <w:rFonts w:ascii="Times New Roman" w:hAnsi="Times New Roman" w:cs="Times New Roman"/>
          <w:sz w:val="20"/>
          <w:szCs w:val="20"/>
        </w:rPr>
        <w:tab/>
      </w:r>
      <w:r w:rsidRPr="00D72C24">
        <w:rPr>
          <w:rFonts w:ascii="Times New Roman" w:hAnsi="Times New Roman" w:cs="Times New Roman"/>
          <w:sz w:val="20"/>
          <w:szCs w:val="20"/>
        </w:rPr>
        <w:tab/>
        <w:t>either domain not addressed (both at high risk or unclear)</w:t>
      </w:r>
    </w:p>
    <w:p w:rsidR="008C0803" w:rsidRPr="00D72C24" w:rsidRDefault="008C0803" w:rsidP="008C0803">
      <w:pPr>
        <w:spacing w:after="0" w:line="240" w:lineRule="auto"/>
        <w:rPr>
          <w:rFonts w:ascii="Times New Roman" w:hAnsi="Times New Roman" w:cs="Times New Roman"/>
          <w:sz w:val="20"/>
          <w:szCs w:val="20"/>
        </w:rPr>
      </w:pPr>
      <w:r w:rsidRPr="00D72C24">
        <w:rPr>
          <w:rFonts w:ascii="Times New Roman" w:hAnsi="Times New Roman" w:cs="Times New Roman"/>
          <w:sz w:val="20"/>
          <w:szCs w:val="20"/>
        </w:rPr>
        <w:tab/>
        <w:t>Moderate risk of bias</w:t>
      </w:r>
      <w:r w:rsidRPr="00D72C24">
        <w:rPr>
          <w:rFonts w:ascii="Times New Roman" w:hAnsi="Times New Roman" w:cs="Times New Roman"/>
          <w:sz w:val="20"/>
          <w:szCs w:val="20"/>
        </w:rPr>
        <w:tab/>
        <w:t xml:space="preserve">one prioritised domain addressed (low risk) while the other not addressed (high risk or unclear) </w:t>
      </w:r>
    </w:p>
    <w:p w:rsidR="008C0803" w:rsidRPr="00D72C24" w:rsidRDefault="008C0803" w:rsidP="008C0803">
      <w:pPr>
        <w:spacing w:after="0" w:line="240" w:lineRule="auto"/>
        <w:rPr>
          <w:rFonts w:ascii="Times New Roman" w:hAnsi="Times New Roman" w:cs="Times New Roman"/>
          <w:sz w:val="20"/>
          <w:szCs w:val="20"/>
        </w:rPr>
      </w:pPr>
      <w:r w:rsidRPr="00D72C24">
        <w:rPr>
          <w:rFonts w:ascii="Times New Roman" w:hAnsi="Times New Roman" w:cs="Times New Roman"/>
          <w:sz w:val="20"/>
          <w:szCs w:val="20"/>
        </w:rPr>
        <w:tab/>
        <w:t>Low risk of bias</w:t>
      </w:r>
      <w:r w:rsidRPr="00D72C24">
        <w:rPr>
          <w:rFonts w:ascii="Times New Roman" w:hAnsi="Times New Roman" w:cs="Times New Roman"/>
          <w:sz w:val="20"/>
          <w:szCs w:val="20"/>
        </w:rPr>
        <w:tab/>
      </w:r>
      <w:r w:rsidRPr="00D72C24">
        <w:rPr>
          <w:rFonts w:ascii="Times New Roman" w:hAnsi="Times New Roman" w:cs="Times New Roman"/>
          <w:sz w:val="20"/>
          <w:szCs w:val="20"/>
        </w:rPr>
        <w:tab/>
        <w:t>both prioritised domains addressed (low risk)</w:t>
      </w:r>
    </w:p>
    <w:p w:rsidR="008C0803" w:rsidRPr="00D72C24" w:rsidRDefault="008C0803" w:rsidP="008C0803">
      <w:pPr>
        <w:spacing w:after="0" w:line="240" w:lineRule="auto"/>
        <w:rPr>
          <w:rFonts w:ascii="Times New Roman" w:hAnsi="Times New Roman" w:cs="Times New Roman"/>
          <w:sz w:val="20"/>
          <w:szCs w:val="20"/>
        </w:rPr>
      </w:pPr>
      <w:proofErr w:type="gramStart"/>
      <w:r w:rsidRPr="00D72C24">
        <w:rPr>
          <w:rFonts w:ascii="Times New Roman" w:hAnsi="Times New Roman" w:cs="Times New Roman"/>
          <w:sz w:val="20"/>
          <w:szCs w:val="20"/>
          <w:vertAlign w:val="superscript"/>
        </w:rPr>
        <w:t>d</w:t>
      </w:r>
      <w:proofErr w:type="gramEnd"/>
      <w:r w:rsidRPr="00D72C24">
        <w:rPr>
          <w:rFonts w:ascii="Times New Roman" w:hAnsi="Times New Roman" w:cs="Times New Roman"/>
          <w:sz w:val="20"/>
          <w:szCs w:val="20"/>
        </w:rPr>
        <w:t xml:space="preserve"> Given the EC papers appeared to be reporting different outcomes but from the same cohort of participants, the quality of the EC papers was scored as one cohort by deriving details from each paper.</w:t>
      </w:r>
    </w:p>
    <w:p w:rsidR="008C0803" w:rsidRPr="00D72C24" w:rsidRDefault="008C0803" w:rsidP="008C0803">
      <w:pPr>
        <w:spacing w:after="0" w:line="240" w:lineRule="auto"/>
        <w:rPr>
          <w:rFonts w:ascii="Times New Roman" w:hAnsi="Times New Roman" w:cs="Times New Roman"/>
          <w:sz w:val="20"/>
          <w:szCs w:val="20"/>
        </w:rPr>
      </w:pPr>
      <w:proofErr w:type="gramStart"/>
      <w:r w:rsidRPr="00D72C24">
        <w:rPr>
          <w:rFonts w:ascii="Times New Roman" w:hAnsi="Times New Roman" w:cs="Times New Roman"/>
          <w:sz w:val="20"/>
          <w:szCs w:val="20"/>
          <w:vertAlign w:val="superscript"/>
        </w:rPr>
        <w:t>e</w:t>
      </w:r>
      <w:proofErr w:type="gramEnd"/>
      <w:r w:rsidRPr="00D72C24">
        <w:rPr>
          <w:rFonts w:ascii="Times New Roman" w:hAnsi="Times New Roman" w:cs="Times New Roman"/>
          <w:sz w:val="20"/>
          <w:szCs w:val="20"/>
        </w:rPr>
        <w:t xml:space="preserve"> The community sample arm of the trial which did not include randomisation was excluded from our data synthesis.</w:t>
      </w:r>
    </w:p>
    <w:p w:rsidR="00031541" w:rsidRDefault="00031541"/>
    <w:sectPr w:rsidR="00031541" w:rsidSect="008C0803">
      <w:pgSz w:w="15840" w:h="12240" w:orient="landscape"/>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altName w:val="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8C0803"/>
    <w:rsid w:val="00031541"/>
    <w:rsid w:val="008C0803"/>
    <w:rsid w:val="00DF1DB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C0803"/>
    <w:pPr>
      <w:spacing w:after="120" w:line="480" w:lineRule="auto"/>
      <w:jc w:val="both"/>
    </w:pPr>
    <w:rPr>
      <w:rFonts w:ascii="Calibri" w:eastAsia="Times New Roman" w:hAnsi="Calibri" w:cs="Calibri"/>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8C0803"/>
    <w:rPr>
      <w:b/>
      <w:bCs/>
    </w:rPr>
  </w:style>
  <w:style w:type="character" w:customStyle="1" w:styleId="CaptionChar">
    <w:name w:val="Caption Char"/>
    <w:basedOn w:val="DefaultParagraphFont"/>
    <w:link w:val="Caption"/>
    <w:rsid w:val="008C0803"/>
    <w:rPr>
      <w:rFonts w:ascii="Calibri" w:eastAsia="Times New Roman" w:hAnsi="Calibri" w:cs="Calibri"/>
      <w:b/>
      <w:bCs/>
      <w:sz w:val="24"/>
      <w:szCs w:val="24"/>
      <w:lang w:val="en-GB"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Words>
  <Characters>1777</Characters>
  <Application>Microsoft Office Word</Application>
  <DocSecurity>0</DocSecurity>
  <Lines>14</Lines>
  <Paragraphs>4</Paragraphs>
  <ScaleCrop>false</ScaleCrop>
  <Company>University of Exeter</Company>
  <LinksUpToDate>false</LinksUpToDate>
  <CharactersWithSpaces>2084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cj245</dc:creator>
  <cp:keywords/>
  <dc:description/>
  <cp:lastModifiedBy>cj245</cp:lastModifiedBy>
  <cp:revision>1</cp:revision>
  <dcterms:created xsi:type="dcterms:W3CDTF">2013-04-16T14:46:00Z</dcterms:created>
  <dcterms:modified xsi:type="dcterms:W3CDTF">2013-04-16T14:46:00Z</dcterms:modified>
</cp:coreProperties>
</file>