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36B" w:rsidRDefault="009D736B" w:rsidP="00CB606E">
      <w:pPr>
        <w:suppressAutoHyphens/>
        <w:spacing w:after="0" w:line="480" w:lineRule="auto"/>
        <w:ind w:left="360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Additional File 6</w:t>
      </w:r>
      <w:bookmarkStart w:id="0" w:name="_GoBack"/>
      <w:bookmarkEnd w:id="0"/>
    </w:p>
    <w:p w:rsidR="00CB606E" w:rsidRPr="00CB606E" w:rsidRDefault="00CB606E" w:rsidP="00CB606E">
      <w:pPr>
        <w:suppressAutoHyphens/>
        <w:spacing w:after="0" w:line="480" w:lineRule="auto"/>
        <w:ind w:left="360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CB606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Performance of and adherence univariate models versus full variable-null model using over 10-fold cross validation, repeated 50 times to predict virological failure (&gt; 400 copies/ml).</w:t>
      </w:r>
    </w:p>
    <w:p w:rsidR="00CB606E" w:rsidRPr="00CB606E" w:rsidRDefault="00CB606E" w:rsidP="00CB606E">
      <w:pPr>
        <w:suppressAutoHyphens/>
        <w:spacing w:after="0" w:line="480" w:lineRule="auto"/>
        <w:ind w:left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B606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The </w:t>
      </w:r>
      <w:r w:rsidRPr="00CB60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Null model of reference is the model that </w:t>
      </w:r>
      <w:r w:rsidRPr="00CB606E">
        <w:rPr>
          <w:rFonts w:ascii="Times New Roman" w:eastAsia="Calibri" w:hAnsi="Times New Roman" w:cs="Calibri"/>
          <w:sz w:val="24"/>
          <w:lang w:eastAsia="ar-SA"/>
        </w:rPr>
        <w:t xml:space="preserve">predicted the </w:t>
      </w:r>
      <w:r w:rsidRPr="00CB606E">
        <w:rPr>
          <w:rFonts w:ascii="Times New Roman" w:eastAsia="Times New Roman" w:hAnsi="Times New Roman" w:cs="Times New Roman"/>
          <w:sz w:val="24"/>
          <w:szCs w:val="24"/>
          <w:lang w:eastAsia="ar-SA"/>
        </w:rPr>
        <w:t>most frequent class (majority class</w:t>
      </w:r>
      <w:r w:rsidRPr="00CB606E">
        <w:rPr>
          <w:rFonts w:ascii="Times New Roman" w:eastAsia="Calibri" w:hAnsi="Times New Roman" w:cs="Calibri"/>
          <w:sz w:val="24"/>
          <w:lang w:eastAsia="ar-SA"/>
        </w:rPr>
        <w:t>),</w:t>
      </w:r>
      <w:r w:rsidRPr="00CB60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which </w:t>
      </w:r>
      <w:r w:rsidRPr="00CB606E">
        <w:rPr>
          <w:rFonts w:ascii="Times New Roman" w:eastAsia="Calibri" w:hAnsi="Times New Roman" w:cs="Calibri"/>
          <w:sz w:val="24"/>
          <w:lang w:eastAsia="ar-SA"/>
        </w:rPr>
        <w:t>was</w:t>
      </w:r>
      <w:r w:rsidRPr="00CB60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the virological failure at VL &gt; 400 copies per ml. The reference class 1 (class 1) </w:t>
      </w:r>
      <w:r w:rsidRPr="00CB606E">
        <w:rPr>
          <w:rFonts w:ascii="Times New Roman" w:eastAsia="Calibri" w:hAnsi="Times New Roman" w:cs="Calibri"/>
          <w:sz w:val="24"/>
          <w:lang w:eastAsia="ar-SA"/>
        </w:rPr>
        <w:t>had</w:t>
      </w:r>
      <w:r w:rsidRPr="00CB60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0</w:t>
      </w:r>
      <w:r w:rsidRPr="00CB606E">
        <w:rPr>
          <w:rFonts w:ascii="Times New Roman" w:eastAsia="Calibri" w:hAnsi="Times New Roman" w:cs="Calibri"/>
          <w:sz w:val="24"/>
          <w:lang w:eastAsia="ar-SA"/>
        </w:rPr>
        <w:t xml:space="preserve"> </w:t>
      </w:r>
      <w:r w:rsidRPr="00CB606E">
        <w:rPr>
          <w:rFonts w:ascii="Times New Roman" w:eastAsia="Times New Roman" w:hAnsi="Times New Roman" w:cs="Times New Roman"/>
          <w:sz w:val="24"/>
          <w:szCs w:val="24"/>
          <w:lang w:eastAsia="ar-SA"/>
        </w:rPr>
        <w:t>% sensitivity (true positive rate) and 100</w:t>
      </w:r>
      <w:r w:rsidRPr="00CB606E">
        <w:rPr>
          <w:rFonts w:ascii="Times New Roman" w:eastAsia="Calibri" w:hAnsi="Times New Roman" w:cs="Calibri"/>
          <w:sz w:val="24"/>
          <w:lang w:eastAsia="ar-SA"/>
        </w:rPr>
        <w:t xml:space="preserve"> </w:t>
      </w:r>
      <w:r w:rsidRPr="00CB606E">
        <w:rPr>
          <w:rFonts w:ascii="Times New Roman" w:eastAsia="Times New Roman" w:hAnsi="Times New Roman" w:cs="Times New Roman"/>
          <w:sz w:val="24"/>
          <w:szCs w:val="24"/>
          <w:lang w:eastAsia="ar-SA"/>
        </w:rPr>
        <w:t>% specificity (true negative rate). Univariate logistic regression models with stepwise function (AIC).</w:t>
      </w:r>
    </w:p>
    <w:p w:rsidR="00CB606E" w:rsidRPr="00CB606E" w:rsidRDefault="00CB606E" w:rsidP="00CB606E">
      <w:pPr>
        <w:suppressAutoHyphens/>
        <w:spacing w:after="0" w:line="480" w:lineRule="auto"/>
        <w:ind w:left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B606E">
        <w:rPr>
          <w:rFonts w:ascii="Times New Roman" w:eastAsia="Calibri" w:hAnsi="Times New Roman" w:cs="Times New Roman"/>
          <w:sz w:val="24"/>
          <w:szCs w:val="24"/>
          <w:lang w:eastAsia="ar-SA"/>
        </w:rPr>
        <w:t>Variables included were either dichotomized (at % cut-off), numeric</w:t>
      </w:r>
      <w:r w:rsidRPr="00CB606E">
        <w:rPr>
          <w:rFonts w:ascii="Times New Roman" w:eastAsia="Calibri" w:hAnsi="Times New Roman" w:cs="Calibri"/>
          <w:sz w:val="24"/>
          <w:lang w:eastAsia="ar-SA"/>
        </w:rPr>
        <w:t>,</w:t>
      </w:r>
      <w:r w:rsidRPr="00CB606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or quartile values of adherence measurement indicated.</w:t>
      </w:r>
    </w:p>
    <w:p w:rsidR="00CB606E" w:rsidRPr="00CB606E" w:rsidRDefault="00CB606E" w:rsidP="00CB606E">
      <w:pPr>
        <w:suppressAutoHyphens/>
        <w:spacing w:after="0" w:line="480" w:lineRule="auto"/>
        <w:ind w:left="360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B606E">
        <w:rPr>
          <w:rFonts w:ascii="Times New Roman" w:eastAsia="Calibri" w:hAnsi="Times New Roman" w:cs="Times New Roman"/>
          <w:sz w:val="24"/>
          <w:szCs w:val="24"/>
          <w:lang w:eastAsia="ar-SA"/>
        </w:rPr>
        <w:t>The following univariate models did not perform better from the null model; appointment (numeric), pill count (numeric), VAS (&lt;100</w:t>
      </w:r>
      <w:r w:rsidRPr="00CB606E">
        <w:rPr>
          <w:rFonts w:ascii="Times New Roman" w:eastAsia="Calibri" w:hAnsi="Times New Roman" w:cs="Calibri"/>
          <w:sz w:val="24"/>
          <w:lang w:eastAsia="ar-SA"/>
        </w:rPr>
        <w:t xml:space="preserve"> </w:t>
      </w:r>
      <w:r w:rsidRPr="00CB606E">
        <w:rPr>
          <w:rFonts w:ascii="Times New Roman" w:eastAsia="Calibri" w:hAnsi="Times New Roman" w:cs="Times New Roman"/>
          <w:sz w:val="24"/>
          <w:szCs w:val="24"/>
          <w:lang w:eastAsia="ar-SA"/>
        </w:rPr>
        <w:t>%), VAS (quartiles), appointment (&lt;</w:t>
      </w:r>
      <w:r w:rsidRPr="00CB606E">
        <w:rPr>
          <w:rFonts w:ascii="Times New Roman" w:eastAsia="Calibri" w:hAnsi="Times New Roman" w:cs="Calibri"/>
          <w:sz w:val="24"/>
          <w:lang w:eastAsia="ar-SA"/>
        </w:rPr>
        <w:t xml:space="preserve"> </w:t>
      </w:r>
      <w:r w:rsidRPr="00CB606E">
        <w:rPr>
          <w:rFonts w:ascii="Times New Roman" w:eastAsia="Calibri" w:hAnsi="Times New Roman" w:cs="Times New Roman"/>
          <w:sz w:val="24"/>
          <w:szCs w:val="24"/>
          <w:lang w:eastAsia="ar-SA"/>
        </w:rPr>
        <w:t>100</w:t>
      </w:r>
      <w:r w:rsidRPr="00CB606E">
        <w:rPr>
          <w:rFonts w:ascii="Times New Roman" w:eastAsia="Calibri" w:hAnsi="Times New Roman" w:cs="Calibri"/>
          <w:sz w:val="24"/>
          <w:lang w:eastAsia="ar-SA"/>
        </w:rPr>
        <w:t xml:space="preserve"> </w:t>
      </w:r>
      <w:r w:rsidRPr="00CB606E">
        <w:rPr>
          <w:rFonts w:ascii="Times New Roman" w:eastAsia="Calibri" w:hAnsi="Times New Roman" w:cs="Times New Roman"/>
          <w:sz w:val="24"/>
          <w:szCs w:val="24"/>
          <w:lang w:eastAsia="ar-SA"/>
        </w:rPr>
        <w:t>%), appointment (&lt;</w:t>
      </w:r>
      <w:r w:rsidRPr="00CB606E">
        <w:rPr>
          <w:rFonts w:ascii="Times New Roman" w:eastAsia="Calibri" w:hAnsi="Times New Roman" w:cs="Calibri"/>
          <w:sz w:val="24"/>
          <w:lang w:eastAsia="ar-SA"/>
        </w:rPr>
        <w:t xml:space="preserve"> </w:t>
      </w:r>
      <w:r w:rsidRPr="00CB606E">
        <w:rPr>
          <w:rFonts w:ascii="Times New Roman" w:eastAsia="Calibri" w:hAnsi="Times New Roman" w:cs="Times New Roman"/>
          <w:sz w:val="24"/>
          <w:szCs w:val="24"/>
          <w:lang w:eastAsia="ar-SA"/>
        </w:rPr>
        <w:t>95</w:t>
      </w:r>
      <w:r w:rsidRPr="00CB606E">
        <w:rPr>
          <w:rFonts w:ascii="Times New Roman" w:eastAsia="Calibri" w:hAnsi="Times New Roman" w:cs="Calibri"/>
          <w:sz w:val="24"/>
          <w:lang w:eastAsia="ar-SA"/>
        </w:rPr>
        <w:t xml:space="preserve"> </w:t>
      </w:r>
      <w:r w:rsidRPr="00CB606E">
        <w:rPr>
          <w:rFonts w:ascii="Times New Roman" w:eastAsia="Calibri" w:hAnsi="Times New Roman" w:cs="Times New Roman"/>
          <w:sz w:val="24"/>
          <w:szCs w:val="24"/>
          <w:lang w:eastAsia="ar-SA"/>
        </w:rPr>
        <w:t>%), appointment (&lt;</w:t>
      </w:r>
      <w:r w:rsidRPr="00CB606E">
        <w:rPr>
          <w:rFonts w:ascii="Times New Roman" w:eastAsia="Calibri" w:hAnsi="Times New Roman" w:cs="Calibri"/>
          <w:sz w:val="24"/>
          <w:lang w:eastAsia="ar-SA"/>
        </w:rPr>
        <w:t xml:space="preserve"> </w:t>
      </w:r>
      <w:r w:rsidRPr="00CB606E">
        <w:rPr>
          <w:rFonts w:ascii="Times New Roman" w:eastAsia="Calibri" w:hAnsi="Times New Roman" w:cs="Times New Roman"/>
          <w:sz w:val="24"/>
          <w:szCs w:val="24"/>
          <w:lang w:eastAsia="ar-SA"/>
        </w:rPr>
        <w:t>90</w:t>
      </w:r>
      <w:r w:rsidRPr="00CB606E">
        <w:rPr>
          <w:rFonts w:ascii="Times New Roman" w:eastAsia="Calibri" w:hAnsi="Times New Roman" w:cs="Calibri"/>
          <w:sz w:val="24"/>
          <w:lang w:eastAsia="ar-SA"/>
        </w:rPr>
        <w:t xml:space="preserve"> </w:t>
      </w:r>
      <w:r w:rsidRPr="00CB606E">
        <w:rPr>
          <w:rFonts w:ascii="Times New Roman" w:eastAsia="Calibri" w:hAnsi="Times New Roman" w:cs="Times New Roman"/>
          <w:sz w:val="24"/>
          <w:szCs w:val="24"/>
          <w:lang w:eastAsia="ar-SA"/>
        </w:rPr>
        <w:t>%), pharmacy refill (&lt;</w:t>
      </w:r>
      <w:r w:rsidRPr="00CB606E">
        <w:rPr>
          <w:rFonts w:ascii="Times New Roman" w:eastAsia="Calibri" w:hAnsi="Times New Roman" w:cs="Calibri"/>
          <w:sz w:val="24"/>
          <w:lang w:eastAsia="ar-SA"/>
        </w:rPr>
        <w:t xml:space="preserve"> </w:t>
      </w:r>
      <w:r w:rsidRPr="00CB606E">
        <w:rPr>
          <w:rFonts w:ascii="Times New Roman" w:eastAsia="Calibri" w:hAnsi="Times New Roman" w:cs="Times New Roman"/>
          <w:sz w:val="24"/>
          <w:szCs w:val="24"/>
          <w:lang w:eastAsia="ar-SA"/>
        </w:rPr>
        <w:t>100</w:t>
      </w:r>
      <w:r w:rsidRPr="00CB606E">
        <w:rPr>
          <w:rFonts w:ascii="Times New Roman" w:eastAsia="Calibri" w:hAnsi="Times New Roman" w:cs="Calibri"/>
          <w:sz w:val="24"/>
          <w:lang w:eastAsia="ar-SA"/>
        </w:rPr>
        <w:t xml:space="preserve"> </w:t>
      </w:r>
      <w:r w:rsidRPr="00CB606E">
        <w:rPr>
          <w:rFonts w:ascii="Times New Roman" w:eastAsia="Calibri" w:hAnsi="Times New Roman" w:cs="Times New Roman"/>
          <w:sz w:val="24"/>
          <w:szCs w:val="24"/>
          <w:lang w:eastAsia="ar-SA"/>
        </w:rPr>
        <w:t>%), pill count (&lt;</w:t>
      </w:r>
      <w:r w:rsidRPr="00CB606E">
        <w:rPr>
          <w:rFonts w:ascii="Times New Roman" w:eastAsia="Calibri" w:hAnsi="Times New Roman" w:cs="Calibri"/>
          <w:sz w:val="24"/>
          <w:lang w:eastAsia="ar-SA"/>
        </w:rPr>
        <w:t xml:space="preserve"> </w:t>
      </w:r>
      <w:r w:rsidRPr="00CB606E">
        <w:rPr>
          <w:rFonts w:ascii="Times New Roman" w:eastAsia="Calibri" w:hAnsi="Times New Roman" w:cs="Times New Roman"/>
          <w:sz w:val="24"/>
          <w:szCs w:val="24"/>
          <w:lang w:eastAsia="ar-SA"/>
        </w:rPr>
        <w:t>90</w:t>
      </w:r>
      <w:r w:rsidRPr="00CB606E">
        <w:rPr>
          <w:rFonts w:ascii="Times New Roman" w:eastAsia="Calibri" w:hAnsi="Times New Roman" w:cs="Calibri"/>
          <w:sz w:val="24"/>
          <w:lang w:eastAsia="ar-SA"/>
        </w:rPr>
        <w:t xml:space="preserve"> </w:t>
      </w:r>
      <w:r w:rsidRPr="00CB606E">
        <w:rPr>
          <w:rFonts w:ascii="Times New Roman" w:eastAsia="Calibri" w:hAnsi="Times New Roman" w:cs="Times New Roman"/>
          <w:sz w:val="24"/>
          <w:szCs w:val="24"/>
          <w:lang w:eastAsia="ar-SA"/>
        </w:rPr>
        <w:t>%), pill count (&lt;</w:t>
      </w:r>
      <w:r w:rsidRPr="00CB606E">
        <w:rPr>
          <w:rFonts w:ascii="Times New Roman" w:eastAsia="Calibri" w:hAnsi="Times New Roman" w:cs="Calibri"/>
          <w:sz w:val="24"/>
          <w:lang w:eastAsia="ar-SA"/>
        </w:rPr>
        <w:t xml:space="preserve"> </w:t>
      </w:r>
      <w:r w:rsidRPr="00CB606E">
        <w:rPr>
          <w:rFonts w:ascii="Times New Roman" w:eastAsia="Calibri" w:hAnsi="Times New Roman" w:cs="Times New Roman"/>
          <w:sz w:val="24"/>
          <w:szCs w:val="24"/>
          <w:lang w:eastAsia="ar-SA"/>
        </w:rPr>
        <w:t>85</w:t>
      </w:r>
      <w:r w:rsidRPr="00CB606E">
        <w:rPr>
          <w:rFonts w:ascii="Times New Roman" w:eastAsia="Calibri" w:hAnsi="Times New Roman" w:cs="Calibri"/>
          <w:sz w:val="24"/>
          <w:lang w:eastAsia="ar-SA"/>
        </w:rPr>
        <w:t xml:space="preserve"> </w:t>
      </w:r>
      <w:r w:rsidRPr="00CB606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%), pill count (quartiles). See Table 1 for adherence and sensitivity </w:t>
      </w:r>
      <w:r w:rsidRPr="00CB606E">
        <w:rPr>
          <w:rFonts w:ascii="Times New Roman" w:eastAsia="Calibri" w:hAnsi="Times New Roman" w:cs="Calibri"/>
          <w:sz w:val="24"/>
          <w:lang w:eastAsia="ar-SA"/>
        </w:rPr>
        <w:t>definitions</w:t>
      </w:r>
      <w:r w:rsidRPr="00CB606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in </w:t>
      </w:r>
      <w:r w:rsidRPr="00CB606E">
        <w:rPr>
          <w:rFonts w:ascii="Times New Roman" w:eastAsia="Calibri" w:hAnsi="Times New Roman" w:cs="Calibri"/>
          <w:sz w:val="24"/>
          <w:lang w:eastAsia="ar-SA"/>
        </w:rPr>
        <w:t xml:space="preserve">the </w:t>
      </w:r>
      <w:r w:rsidRPr="00CB606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context </w:t>
      </w:r>
      <w:r w:rsidRPr="00CB606E">
        <w:rPr>
          <w:rFonts w:ascii="Times New Roman" w:eastAsia="Calibri" w:hAnsi="Times New Roman" w:cs="Calibri"/>
          <w:sz w:val="24"/>
          <w:lang w:eastAsia="ar-SA"/>
        </w:rPr>
        <w:t>of the</w:t>
      </w:r>
      <w:r w:rsidRPr="00CB606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study</w:t>
      </w:r>
      <w:r w:rsidRPr="00CB60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CB606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Degrees of freedom for t-test </w:t>
      </w:r>
      <w:r w:rsidRPr="00CB606E">
        <w:rPr>
          <w:rFonts w:ascii="Times New Roman" w:eastAsia="Calibri" w:hAnsi="Times New Roman" w:cs="Calibri"/>
          <w:sz w:val="24"/>
          <w:lang w:eastAsia="ar-SA"/>
        </w:rPr>
        <w:t>were</w:t>
      </w:r>
      <w:r w:rsidRPr="00CB606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50.</w:t>
      </w:r>
    </w:p>
    <w:p w:rsidR="00CB606E" w:rsidRPr="00CB606E" w:rsidRDefault="00CB606E" w:rsidP="00CB606E">
      <w:pPr>
        <w:suppressAutoHyphens/>
        <w:spacing w:after="0" w:line="240" w:lineRule="auto"/>
        <w:ind w:left="720"/>
        <w:rPr>
          <w:rFonts w:ascii="Times New Roman" w:eastAsia="Calibri" w:hAnsi="Times New Roman" w:cs="Times New Roman"/>
          <w:sz w:val="18"/>
          <w:szCs w:val="18"/>
          <w:lang w:eastAsia="ar-SA"/>
        </w:rPr>
      </w:pPr>
    </w:p>
    <w:tbl>
      <w:tblPr>
        <w:tblW w:w="7596" w:type="dxa"/>
        <w:jc w:val="center"/>
        <w:tblLook w:val="04A0" w:firstRow="1" w:lastRow="0" w:firstColumn="1" w:lastColumn="0" w:noHBand="0" w:noVBand="1"/>
      </w:tblPr>
      <w:tblGrid>
        <w:gridCol w:w="2860"/>
        <w:gridCol w:w="1192"/>
        <w:gridCol w:w="1134"/>
        <w:gridCol w:w="1134"/>
        <w:gridCol w:w="1276"/>
      </w:tblGrid>
      <w:tr w:rsidR="00CB606E" w:rsidRPr="00CB606E" w:rsidTr="003765CD">
        <w:trPr>
          <w:trHeight w:val="300"/>
          <w:jc w:val="center"/>
        </w:trPr>
        <w:tc>
          <w:tcPr>
            <w:tcW w:w="28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Model</w:t>
            </w:r>
          </w:p>
        </w:tc>
        <w:tc>
          <w:tcPr>
            <w:tcW w:w="47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 xml:space="preserve">Goodness-of-fit [avg (st.dev)] with respect to failure </w:t>
            </w:r>
          </w:p>
        </w:tc>
      </w:tr>
      <w:tr w:rsidR="00CB606E" w:rsidRPr="00CB606E" w:rsidTr="003765CD">
        <w:trPr>
          <w:trHeight w:val="300"/>
          <w:jc w:val="center"/>
        </w:trPr>
        <w:tc>
          <w:tcPr>
            <w:tcW w:w="28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Area under roc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Accuracy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Sensitivity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en-GB"/>
              </w:rPr>
              <w:t>Specificity</w:t>
            </w:r>
          </w:p>
        </w:tc>
      </w:tr>
      <w:tr w:rsidR="00CB606E" w:rsidRPr="00CB606E" w:rsidTr="003765CD">
        <w:trPr>
          <w:trHeight w:val="300"/>
          <w:jc w:val="center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Majority class (null model)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0.50 (0.00)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66.07 (2.79)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0.00 (0.00)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1.00 (0.00)</w:t>
            </w:r>
          </w:p>
        </w:tc>
      </w:tr>
      <w:tr w:rsidR="00CB606E" w:rsidRPr="00CB606E" w:rsidTr="003765CD">
        <w:trPr>
          <w:trHeight w:val="300"/>
          <w:jc w:val="center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SHCS-AQ (0 or 1)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0.48 (0.12)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66.07 (2.79)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0.00 (0.00)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1.00 (0.00)</w:t>
            </w:r>
          </w:p>
        </w:tc>
      </w:tr>
      <w:tr w:rsidR="00CB606E" w:rsidRPr="00CB606E" w:rsidTr="003765CD">
        <w:trPr>
          <w:trHeight w:val="300"/>
          <w:jc w:val="center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VAS (numeric)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0.55 (0.12)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65.52 (3.60)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0.01 (0.04)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0.99 (0.04)</w:t>
            </w:r>
          </w:p>
        </w:tc>
      </w:tr>
      <w:tr w:rsidR="00CB606E" w:rsidRPr="00CB606E" w:rsidTr="003765CD">
        <w:trPr>
          <w:trHeight w:val="300"/>
          <w:jc w:val="center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Pharmacy refill (numeric)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0.64 (0.14)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68.73 (6.34)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0.14 (0.14)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0.97 (0.06)</w:t>
            </w:r>
          </w:p>
        </w:tc>
      </w:tr>
      <w:tr w:rsidR="00CB606E" w:rsidRPr="00CB606E" w:rsidTr="003765CD">
        <w:trPr>
          <w:trHeight w:val="300"/>
          <w:jc w:val="center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VAS (</w:t>
            </w:r>
            <w:r w:rsidRPr="00CB606E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&lt;</w:t>
            </w: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95</w:t>
            </w:r>
            <w:r w:rsidRPr="00CB606E">
              <w:rPr>
                <w:rFonts w:ascii="Times New Roman" w:eastAsia="Calibri" w:hAnsi="Times New Roman" w:cs="Calibri"/>
                <w:color w:val="000000"/>
                <w:sz w:val="18"/>
                <w:lang w:eastAsia="ar-SA"/>
              </w:rPr>
              <w:t xml:space="preserve"> </w:t>
            </w: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%)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0.54 (0.07)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64.01 (4.32)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0.04 (0.08)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0.95 (0.07)</w:t>
            </w:r>
          </w:p>
        </w:tc>
      </w:tr>
      <w:tr w:rsidR="00CB606E" w:rsidRPr="00CB606E" w:rsidTr="003765CD">
        <w:trPr>
          <w:trHeight w:val="300"/>
          <w:jc w:val="center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VAS (</w:t>
            </w:r>
            <w:r w:rsidRPr="00CB606E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&lt;</w:t>
            </w: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90</w:t>
            </w:r>
            <w:r w:rsidRPr="00CB606E">
              <w:rPr>
                <w:rFonts w:ascii="Times New Roman" w:eastAsia="Calibri" w:hAnsi="Times New Roman" w:cs="Calibri"/>
                <w:color w:val="000000"/>
                <w:sz w:val="18"/>
                <w:lang w:eastAsia="ar-SA"/>
              </w:rPr>
              <w:t xml:space="preserve"> </w:t>
            </w: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%)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0.54 (0.06)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67.92 (5.07)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0.09 (0.11)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0.98 (0.04)</w:t>
            </w:r>
          </w:p>
        </w:tc>
      </w:tr>
      <w:tr w:rsidR="00CB606E" w:rsidRPr="00CB606E" w:rsidTr="003765CD">
        <w:trPr>
          <w:trHeight w:val="300"/>
          <w:jc w:val="center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Appointment (quartiles)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0.51 (0.13)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64.87 (5.04)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0.00 (0.03)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0.98 (0.07)</w:t>
            </w:r>
          </w:p>
        </w:tc>
      </w:tr>
      <w:tr w:rsidR="00CB606E" w:rsidRPr="00CB606E" w:rsidTr="003765CD">
        <w:trPr>
          <w:trHeight w:val="300"/>
          <w:jc w:val="center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Pharmacy refill (</w:t>
            </w:r>
            <w:r w:rsidRPr="00CB606E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&lt;</w:t>
            </w: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90</w:t>
            </w:r>
            <w:r w:rsidRPr="00CB606E">
              <w:rPr>
                <w:rFonts w:ascii="Times New Roman" w:eastAsia="Calibri" w:hAnsi="Times New Roman" w:cs="Calibri"/>
                <w:color w:val="000000"/>
                <w:sz w:val="18"/>
                <w:lang w:eastAsia="ar-SA"/>
              </w:rPr>
              <w:t xml:space="preserve"> </w:t>
            </w: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%)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0.60 (0.12)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63.12 (6.81)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0.05 (0.13)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0.93 (0.15)</w:t>
            </w:r>
          </w:p>
        </w:tc>
      </w:tr>
      <w:tr w:rsidR="00CB606E" w:rsidRPr="00CB606E" w:rsidTr="003765CD">
        <w:trPr>
          <w:trHeight w:val="300"/>
          <w:jc w:val="center"/>
        </w:trPr>
        <w:tc>
          <w:tcPr>
            <w:tcW w:w="2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Pharmacy refill (quartiles)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0.59 (0.14)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64.99 (5.52)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0.01 (0.03)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0.98 (0.09)</w:t>
            </w:r>
          </w:p>
        </w:tc>
      </w:tr>
      <w:tr w:rsidR="00CB606E" w:rsidRPr="00CB606E" w:rsidTr="003765CD">
        <w:trPr>
          <w:trHeight w:val="300"/>
          <w:jc w:val="center"/>
        </w:trPr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Pill count (</w:t>
            </w:r>
            <w:r w:rsidRPr="00CB606E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&lt;</w:t>
            </w: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95</w:t>
            </w:r>
            <w:r w:rsidRPr="00CB606E">
              <w:rPr>
                <w:rFonts w:ascii="Times New Roman" w:eastAsia="Calibri" w:hAnsi="Times New Roman" w:cs="Calibri"/>
                <w:color w:val="000000"/>
                <w:sz w:val="18"/>
                <w:lang w:eastAsia="ar-SA"/>
              </w:rPr>
              <w:t xml:space="preserve"> </w:t>
            </w: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%)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0.54 (0.08)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63.48 (4.93)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0.06 (0.10)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606E" w:rsidRPr="00CB606E" w:rsidRDefault="00CB606E" w:rsidP="00CB60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CB60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0.93 (0.08)</w:t>
            </w:r>
          </w:p>
        </w:tc>
      </w:tr>
    </w:tbl>
    <w:p w:rsidR="00CB606E" w:rsidRPr="00CB606E" w:rsidRDefault="00CB606E" w:rsidP="00CB606E">
      <w:pPr>
        <w:suppressAutoHyphens/>
        <w:ind w:left="720"/>
        <w:rPr>
          <w:rFonts w:ascii="Times New Roman" w:eastAsia="Calibri" w:hAnsi="Times New Roman" w:cs="Times New Roman"/>
          <w:sz w:val="24"/>
          <w:lang w:eastAsia="ar-SA"/>
        </w:rPr>
      </w:pPr>
    </w:p>
    <w:p w:rsidR="00422D92" w:rsidRDefault="009D736B"/>
    <w:sectPr w:rsidR="00422D92" w:rsidSect="00CB606E">
      <w:headerReference w:type="default" r:id="rId5"/>
      <w:footerReference w:type="even" r:id="rId6"/>
      <w:footerReference w:type="default" r:id="rId7"/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75D" w:rsidRPr="000800C1" w:rsidRDefault="009D736B">
    <w:pPr>
      <w:pStyle w:val="Footer"/>
      <w:jc w:val="center"/>
      <w:rPr>
        <w:rFonts w:ascii="Perpetua" w:hAnsi="Perpetua"/>
        <w:sz w:val="24"/>
        <w:szCs w:val="24"/>
      </w:rPr>
    </w:pPr>
    <w:r w:rsidRPr="000800C1">
      <w:rPr>
        <w:rFonts w:ascii="Perpetua" w:hAnsi="Perpetua"/>
        <w:sz w:val="24"/>
        <w:szCs w:val="24"/>
      </w:rPr>
      <w:fldChar w:fldCharType="begin"/>
    </w:r>
    <w:r w:rsidRPr="000800C1">
      <w:rPr>
        <w:rFonts w:ascii="Perpetua" w:hAnsi="Perpetua"/>
        <w:sz w:val="24"/>
        <w:szCs w:val="24"/>
      </w:rPr>
      <w:instrText xml:space="preserve"> PAGE   \* MERGEFORMAT </w:instrText>
    </w:r>
    <w:r w:rsidRPr="000800C1">
      <w:rPr>
        <w:rFonts w:ascii="Perpetua" w:hAnsi="Perpetua"/>
        <w:sz w:val="24"/>
        <w:szCs w:val="24"/>
      </w:rPr>
      <w:fldChar w:fldCharType="separate"/>
    </w:r>
    <w:r>
      <w:rPr>
        <w:rFonts w:ascii="Perpetua" w:hAnsi="Perpetua"/>
        <w:noProof/>
        <w:sz w:val="24"/>
        <w:szCs w:val="24"/>
      </w:rPr>
      <w:t>30</w:t>
    </w:r>
    <w:r w:rsidRPr="000800C1">
      <w:rPr>
        <w:rFonts w:ascii="Perpetua" w:hAnsi="Perpetua"/>
        <w:noProof/>
        <w:sz w:val="24"/>
        <w:szCs w:val="24"/>
      </w:rPr>
      <w:fldChar w:fldCharType="end"/>
    </w:r>
  </w:p>
  <w:p w:rsidR="0094575D" w:rsidRDefault="009D736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75D" w:rsidRDefault="009D736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94575D" w:rsidRDefault="009D736B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4252584"/>
      <w:docPartObj>
        <w:docPartGallery w:val="Page Numbers (Top of Page)"/>
        <w:docPartUnique/>
      </w:docPartObj>
    </w:sdtPr>
    <w:sdtEndPr>
      <w:rPr>
        <w:noProof/>
      </w:rPr>
    </w:sdtEndPr>
    <w:sdtContent>
      <w:p w:rsidR="0094575D" w:rsidRDefault="009D736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575D" w:rsidRDefault="009D73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06E"/>
    <w:rsid w:val="0008409B"/>
    <w:rsid w:val="0008443B"/>
    <w:rsid w:val="001A459D"/>
    <w:rsid w:val="001E6A32"/>
    <w:rsid w:val="00407A11"/>
    <w:rsid w:val="00585CD5"/>
    <w:rsid w:val="006B642A"/>
    <w:rsid w:val="00884984"/>
    <w:rsid w:val="00920ED5"/>
    <w:rsid w:val="009D736B"/>
    <w:rsid w:val="00CB606E"/>
    <w:rsid w:val="00D06E03"/>
    <w:rsid w:val="00E4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606E"/>
    <w:pPr>
      <w:tabs>
        <w:tab w:val="center" w:pos="4680"/>
        <w:tab w:val="right" w:pos="9360"/>
      </w:tabs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CB606E"/>
    <w:rPr>
      <w:rFonts w:ascii="Calibri" w:eastAsia="Calibri" w:hAnsi="Calibri" w:cs="Calibri"/>
      <w:lang w:val="en-GB" w:eastAsia="ar-SA"/>
    </w:rPr>
  </w:style>
  <w:style w:type="paragraph" w:styleId="Footer">
    <w:name w:val="footer"/>
    <w:basedOn w:val="Normal"/>
    <w:link w:val="FooterChar"/>
    <w:uiPriority w:val="99"/>
    <w:unhideWhenUsed/>
    <w:rsid w:val="00CB606E"/>
    <w:pPr>
      <w:tabs>
        <w:tab w:val="center" w:pos="4680"/>
        <w:tab w:val="right" w:pos="9360"/>
      </w:tabs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CB606E"/>
    <w:rPr>
      <w:rFonts w:ascii="Calibri" w:eastAsia="Calibri" w:hAnsi="Calibri" w:cs="Calibri"/>
      <w:lang w:val="en-GB" w:eastAsia="ar-SA"/>
    </w:rPr>
  </w:style>
  <w:style w:type="character" w:styleId="LineNumber">
    <w:name w:val="line number"/>
    <w:basedOn w:val="DefaultParagraphFont"/>
    <w:uiPriority w:val="99"/>
    <w:semiHidden/>
    <w:unhideWhenUsed/>
    <w:rsid w:val="00CB60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606E"/>
    <w:pPr>
      <w:tabs>
        <w:tab w:val="center" w:pos="4680"/>
        <w:tab w:val="right" w:pos="9360"/>
      </w:tabs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CB606E"/>
    <w:rPr>
      <w:rFonts w:ascii="Calibri" w:eastAsia="Calibri" w:hAnsi="Calibri" w:cs="Calibri"/>
      <w:lang w:val="en-GB" w:eastAsia="ar-SA"/>
    </w:rPr>
  </w:style>
  <w:style w:type="paragraph" w:styleId="Footer">
    <w:name w:val="footer"/>
    <w:basedOn w:val="Normal"/>
    <w:link w:val="FooterChar"/>
    <w:uiPriority w:val="99"/>
    <w:unhideWhenUsed/>
    <w:rsid w:val="00CB606E"/>
    <w:pPr>
      <w:tabs>
        <w:tab w:val="center" w:pos="4680"/>
        <w:tab w:val="right" w:pos="9360"/>
      </w:tabs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CB606E"/>
    <w:rPr>
      <w:rFonts w:ascii="Calibri" w:eastAsia="Calibri" w:hAnsi="Calibri" w:cs="Calibri"/>
      <w:lang w:val="en-GB" w:eastAsia="ar-SA"/>
    </w:rPr>
  </w:style>
  <w:style w:type="character" w:styleId="LineNumber">
    <w:name w:val="line number"/>
    <w:basedOn w:val="DefaultParagraphFont"/>
    <w:uiPriority w:val="99"/>
    <w:semiHidden/>
    <w:unhideWhenUsed/>
    <w:rsid w:val="00CB60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1637</Characters>
  <Application>Microsoft Office Word</Application>
  <DocSecurity>0</DocSecurity>
  <Lines>13</Lines>
  <Paragraphs>3</Paragraphs>
  <ScaleCrop>false</ScaleCrop>
  <Company>MWP</Company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Z Sangeda</dc:creator>
  <cp:keywords/>
  <dc:description/>
  <cp:lastModifiedBy>Raphael Z Sangeda</cp:lastModifiedBy>
  <cp:revision>2</cp:revision>
  <dcterms:created xsi:type="dcterms:W3CDTF">2014-09-24T07:58:00Z</dcterms:created>
  <dcterms:modified xsi:type="dcterms:W3CDTF">2014-09-24T07:59:00Z</dcterms:modified>
</cp:coreProperties>
</file>