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0E" w:rsidRPr="003F7280" w:rsidRDefault="00596CD1" w:rsidP="005F41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Additional file </w:t>
      </w:r>
      <w:r w:rsidR="00D536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 Table S2</w:t>
      </w:r>
      <w:r w:rsidR="005F410E" w:rsidRPr="00C136E8">
        <w:rPr>
          <w:rFonts w:ascii="Times New Roman" w:hAnsi="Times New Roman"/>
          <w:sz w:val="24"/>
          <w:szCs w:val="24"/>
        </w:rPr>
        <w:t xml:space="preserve">     Model specifications (Adapted from Mishra et al., 2009 </w:t>
      </w:r>
      <w:r w:rsidR="00A84876" w:rsidRPr="00C136E8">
        <w:rPr>
          <w:rFonts w:ascii="Times New Roman" w:hAnsi="Times New Roman"/>
          <w:sz w:val="24"/>
          <w:szCs w:val="24"/>
        </w:rPr>
        <w:fldChar w:fldCharType="begin"/>
      </w:r>
      <w:r w:rsidR="005F410E" w:rsidRPr="00C136E8">
        <w:rPr>
          <w:rFonts w:ascii="Times New Roman" w:hAnsi="Times New Roman"/>
          <w:sz w:val="24"/>
          <w:szCs w:val="24"/>
        </w:rPr>
        <w:instrText xml:space="preserve"> ADDIN EN.CITE &lt;EndNote&gt;&lt;Cite&gt;&lt;Author&gt;Mishra&lt;/Author&gt;&lt;Year&gt;2009&lt;/Year&gt;&lt;RecNum&gt;105&lt;/RecNum&gt;&lt;DisplayText&gt;[30]&lt;/DisplayText&gt;&lt;record&gt;&lt;rec-number&gt;105&lt;/rec-number&gt;&lt;foreign-keys&gt;&lt;key app="EN" db-id="ft2szdaf6rsfv1eepp05t2wbwrev5vz9rped"&gt;105&lt;/key&gt;&lt;/foreign-keys&gt;&lt;ref-type name="Journal Article"&gt;17&lt;/ref-type&gt;&lt;contributors&gt;&lt;authors&gt;&lt;author&gt;Mishra, G.&lt;/author&gt;&lt;author&gt;Nitsch, D.&lt;/author&gt;&lt;author&gt;Black, S.&lt;/author&gt;&lt;author&gt;De Stavola, B.&lt;/author&gt;&lt;author&gt;Kuh, D.&lt;/author&gt;&lt;author&gt;Hardy, R.&lt;/author&gt;&lt;/authors&gt;&lt;/contributors&gt;&lt;auth-address&gt;MRC Unit for Lifelong Health and Ageing, University College and Royal Free Medical School, London, UK. g.mishra@nshd.mrc.ac.uk&lt;/auth-address&gt;&lt;titles&gt;&lt;title&gt;A structured approach to modelling the effects of binary exposure variables over the life course&lt;/title&gt;&lt;secondary-title&gt;Int J Epidemiol&lt;/secondary-title&gt;&lt;/titles&gt;&lt;periodical&gt;&lt;full-title&gt;Int J Epidemiol&lt;/full-title&gt;&lt;/periodical&gt;&lt;pages&gt;528-37&lt;/pages&gt;&lt;volume&gt;38&lt;/volume&gt;&lt;number&gt;2&lt;/number&gt;&lt;edition&gt;2008/11/26&lt;/edition&gt;&lt;keywords&gt;&lt;keyword&gt;*Body Mass Index&lt;/keyword&gt;&lt;keyword&gt;Critical Period (Psychology)&lt;/keyword&gt;&lt;keyword&gt;Female&lt;/keyword&gt;&lt;keyword&gt;Humans&lt;/keyword&gt;&lt;keyword&gt;Longitudinal Studies&lt;/keyword&gt;&lt;keyword&gt;Male&lt;/keyword&gt;&lt;keyword&gt;Middle Aged&lt;/keyword&gt;&lt;keyword&gt;*Models, Statistical&lt;/keyword&gt;&lt;keyword&gt;Sex Factors&lt;/keyword&gt;&lt;keyword&gt;Social Mobility/*statistics &amp;amp; numerical data&lt;/keyword&gt;&lt;keyword&gt;Socioeconomic Factors&lt;/keyword&gt;&lt;/keywords&gt;&lt;dates&gt;&lt;year&gt;2009&lt;/year&gt;&lt;pub-dates&gt;&lt;date&gt;Apr&lt;/date&gt;&lt;/pub-dates&gt;&lt;/dates&gt;&lt;isbn&gt;1464-3685 (Electronic)&amp;#xD;0300-5771 (Linking)&lt;/isbn&gt;&lt;accession-num&gt;19028777&lt;/accession-num&gt;&lt;urls&gt;&lt;related-urls&gt;&lt;url&gt;http://www.ncbi.nlm.nih.gov/entrez/query.fcgi?cmd=Retrieve&amp;amp;db=PubMed&amp;amp;dopt=Citation&amp;amp;list_uids=19028777&lt;/url&gt;&lt;/related-urls&gt;&lt;/urls&gt;&lt;custom2&gt;2663717&lt;/custom2&gt;&lt;electronic-resource-num&gt;dyn229 [pii]&amp;#xD;10.1093/ije/dyn229&lt;/electronic-resource-num&gt;&lt;language&gt;eng&lt;/language&gt;&lt;/record&gt;&lt;/Cite&gt;&lt;/EndNote&gt;</w:instrText>
      </w:r>
      <w:r w:rsidR="00A84876" w:rsidRPr="00C136E8">
        <w:rPr>
          <w:rFonts w:ascii="Times New Roman" w:hAnsi="Times New Roman"/>
          <w:sz w:val="24"/>
          <w:szCs w:val="24"/>
        </w:rPr>
        <w:fldChar w:fldCharType="separate"/>
      </w:r>
      <w:r w:rsidR="005F410E" w:rsidRPr="00C136E8">
        <w:rPr>
          <w:rFonts w:ascii="Times New Roman" w:hAnsi="Times New Roman"/>
          <w:noProof/>
          <w:sz w:val="24"/>
          <w:szCs w:val="24"/>
        </w:rPr>
        <w:t>[</w:t>
      </w:r>
      <w:hyperlink w:anchor="_ENREF_30" w:tooltip="Mishra, 2009 #105" w:history="1">
        <w:r w:rsidR="005F410E" w:rsidRPr="00C136E8">
          <w:rPr>
            <w:rFonts w:ascii="Times New Roman" w:hAnsi="Times New Roman"/>
            <w:noProof/>
            <w:sz w:val="24"/>
            <w:szCs w:val="24"/>
          </w:rPr>
          <w:t>30</w:t>
        </w:r>
      </w:hyperlink>
      <w:r w:rsidR="005F410E" w:rsidRPr="00C136E8">
        <w:rPr>
          <w:rFonts w:ascii="Times New Roman" w:hAnsi="Times New Roman"/>
          <w:noProof/>
          <w:sz w:val="24"/>
          <w:szCs w:val="24"/>
        </w:rPr>
        <w:t>]</w:t>
      </w:r>
      <w:r w:rsidR="00A84876" w:rsidRPr="00C136E8">
        <w:rPr>
          <w:rFonts w:ascii="Times New Roman" w:hAnsi="Times New Roman"/>
          <w:sz w:val="24"/>
          <w:szCs w:val="24"/>
        </w:rPr>
        <w:fldChar w:fldCharType="end"/>
      </w:r>
      <w:r w:rsidR="005F410E" w:rsidRPr="00C136E8">
        <w:rPr>
          <w:rFonts w:ascii="Times New Roman" w:hAnsi="Times New Roman"/>
          <w:sz w:val="24"/>
          <w:szCs w:val="24"/>
        </w:rPr>
        <w:t xml:space="preserve"> and Murray et al., 2011</w:t>
      </w:r>
      <w:r w:rsidR="00A84876" w:rsidRPr="00C136E8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PEVuZE5vdGU+PENpdGU+PEF1dGhvcj5NdXJyYXk8L0F1dGhvcj48WWVhcj4yMDExPC9ZZWFyPjxS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</w:fldData>
        </w:fldChar>
      </w:r>
      <w:r w:rsidR="005F410E" w:rsidRPr="00C136E8">
        <w:rPr>
          <w:rFonts w:ascii="Times New Roman" w:hAnsi="Times New Roman"/>
          <w:sz w:val="24"/>
          <w:szCs w:val="24"/>
        </w:rPr>
        <w:instrText xml:space="preserve"> ADDIN EN.CITE </w:instrText>
      </w:r>
      <w:r w:rsidR="00A84876" w:rsidRPr="00C136E8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PEVuZE5vdGU+PENpdGU+PEF1dGhvcj5NdXJyYXk8L0F1dGhvcj48WWVhcj4yMDExPC9ZZWFyPjxS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</w:fldData>
        </w:fldChar>
      </w:r>
      <w:r w:rsidR="005F410E" w:rsidRPr="00C136E8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A84876" w:rsidRPr="00C136E8">
        <w:rPr>
          <w:rFonts w:ascii="Times New Roman" w:hAnsi="Times New Roman"/>
          <w:sz w:val="24"/>
          <w:szCs w:val="24"/>
        </w:rPr>
      </w:r>
      <w:r w:rsidR="00A84876" w:rsidRPr="00C136E8">
        <w:rPr>
          <w:rFonts w:ascii="Times New Roman" w:hAnsi="Times New Roman"/>
          <w:sz w:val="24"/>
          <w:szCs w:val="24"/>
        </w:rPr>
        <w:fldChar w:fldCharType="end"/>
      </w:r>
      <w:r w:rsidR="00A84876" w:rsidRPr="00C136E8">
        <w:rPr>
          <w:rFonts w:ascii="Times New Roman" w:hAnsi="Times New Roman"/>
          <w:sz w:val="24"/>
          <w:szCs w:val="24"/>
        </w:rPr>
      </w:r>
      <w:r w:rsidR="00A84876" w:rsidRPr="00C136E8">
        <w:rPr>
          <w:rFonts w:ascii="Times New Roman" w:hAnsi="Times New Roman"/>
          <w:sz w:val="24"/>
          <w:szCs w:val="24"/>
        </w:rPr>
        <w:fldChar w:fldCharType="separate"/>
      </w:r>
      <w:r w:rsidR="005F410E" w:rsidRPr="00C136E8">
        <w:rPr>
          <w:rFonts w:ascii="Times New Roman" w:hAnsi="Times New Roman"/>
          <w:noProof/>
          <w:sz w:val="24"/>
          <w:szCs w:val="24"/>
        </w:rPr>
        <w:t>[</w:t>
      </w:r>
      <w:hyperlink w:anchor="_ENREF_34" w:tooltip="Murray, 2011 #107" w:history="1">
        <w:r w:rsidR="005F410E" w:rsidRPr="00C136E8">
          <w:rPr>
            <w:rFonts w:ascii="Times New Roman" w:hAnsi="Times New Roman"/>
            <w:noProof/>
            <w:sz w:val="24"/>
            <w:szCs w:val="24"/>
          </w:rPr>
          <w:t>3</w:t>
        </w:r>
        <w:r w:rsidR="006D401B">
          <w:rPr>
            <w:rFonts w:ascii="Times New Roman" w:hAnsi="Times New Roman"/>
            <w:noProof/>
            <w:sz w:val="24"/>
            <w:szCs w:val="24"/>
          </w:rPr>
          <w:t>1</w:t>
        </w:r>
      </w:hyperlink>
      <w:r w:rsidR="005F410E" w:rsidRPr="00C136E8">
        <w:rPr>
          <w:rFonts w:ascii="Times New Roman" w:hAnsi="Times New Roman"/>
          <w:noProof/>
          <w:sz w:val="24"/>
          <w:szCs w:val="24"/>
        </w:rPr>
        <w:t>]</w:t>
      </w:r>
      <w:r w:rsidR="00A84876" w:rsidRPr="00C136E8">
        <w:rPr>
          <w:rFonts w:ascii="Times New Roman" w:hAnsi="Times New Roman"/>
          <w:sz w:val="24"/>
          <w:szCs w:val="24"/>
        </w:rPr>
        <w:fldChar w:fldCharType="end"/>
      </w:r>
      <w:r w:rsidR="005F410E" w:rsidRPr="00C136E8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8"/>
        <w:gridCol w:w="2940"/>
        <w:gridCol w:w="3402"/>
      </w:tblGrid>
      <w:tr w:rsidR="005F410E" w:rsidRPr="003F7280" w:rsidTr="00DB41FB">
        <w:tc>
          <w:tcPr>
            <w:tcW w:w="2838" w:type="dxa"/>
            <w:tcBorders>
              <w:top w:val="single" w:sz="12" w:space="0" w:color="auto"/>
              <w:bottom w:val="single" w:sz="4" w:space="0" w:color="auto"/>
            </w:tcBorders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2940" w:type="dxa"/>
            <w:tcBorders>
              <w:top w:val="single" w:sz="12" w:space="0" w:color="auto"/>
              <w:bottom w:val="single" w:sz="4" w:space="0" w:color="auto"/>
            </w:tcBorders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Lifecourse model specification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Constraints</w:t>
            </w:r>
          </w:p>
        </w:tc>
      </w:tr>
      <w:tr w:rsidR="005F410E" w:rsidRPr="003F7280" w:rsidTr="00DB41FB">
        <w:tc>
          <w:tcPr>
            <w:tcW w:w="2838" w:type="dxa"/>
            <w:tcBorders>
              <w:top w:val="single" w:sz="4" w:space="0" w:color="auto"/>
            </w:tcBorders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Saturated</w:t>
            </w:r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1a) Accumulation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Strict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=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;   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Relaxed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1b) Critical Period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Childhood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Transition to Adulthood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Adulthood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1c) Social Mobility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Early*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=-(β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);   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    - Adult**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=-(β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+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);   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  <w:tr w:rsidR="005F410E" w:rsidRPr="003F7280" w:rsidTr="00DB41FB">
        <w:tc>
          <w:tcPr>
            <w:tcW w:w="2838" w:type="dxa"/>
          </w:tcPr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b/>
                <w:sz w:val="24"/>
                <w:szCs w:val="24"/>
              </w:rPr>
              <w:t>No Effect</w:t>
            </w:r>
          </w:p>
        </w:tc>
        <w:tc>
          <w:tcPr>
            <w:tcW w:w="2940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α</w:t>
            </w:r>
          </w:p>
        </w:tc>
        <w:tc>
          <w:tcPr>
            <w:tcW w:w="3402" w:type="dxa"/>
          </w:tcPr>
          <w:p w:rsidR="005F410E" w:rsidRPr="003F7280" w:rsidRDefault="005F410E" w:rsidP="00DB41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410E" w:rsidRPr="003F7280" w:rsidRDefault="005F410E" w:rsidP="00DB41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hAnsi="Times New Roman"/>
                <w:sz w:val="24"/>
                <w:szCs w:val="24"/>
              </w:rPr>
              <w:t>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>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β</w:t>
            </w:r>
            <w:r w:rsidRPr="00C136E8">
              <w:rPr>
                <w:rFonts w:ascii="Times New Roman" w:hAnsi="Times New Roman"/>
                <w:sz w:val="24"/>
                <w:szCs w:val="24"/>
                <w:vertAlign w:val="subscript"/>
              </w:rPr>
              <w:t>123</w:t>
            </w:r>
            <w:r w:rsidRPr="00C136E8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</w:tr>
    </w:tbl>
    <w:p w:rsidR="005F410E" w:rsidRPr="003F7280" w:rsidRDefault="005F410E" w:rsidP="005F410E">
      <w:pPr>
        <w:spacing w:after="0" w:line="240" w:lineRule="auto"/>
        <w:ind w:left="-916" w:right="-1074" w:firstLine="916"/>
        <w:contextualSpacing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>Where α = constant/intercept; β = regression coefficient / slope; 1 = SEP</w:t>
      </w:r>
      <w:r w:rsidRPr="00C136E8">
        <w:rPr>
          <w:rFonts w:ascii="Times New Roman" w:hAnsi="Times New Roman"/>
          <w:sz w:val="24"/>
          <w:szCs w:val="24"/>
          <w:vertAlign w:val="subscript"/>
        </w:rPr>
        <w:t>1</w:t>
      </w:r>
      <w:r w:rsidRPr="00C136E8">
        <w:rPr>
          <w:rFonts w:ascii="Times New Roman" w:hAnsi="Times New Roman"/>
          <w:sz w:val="24"/>
          <w:szCs w:val="24"/>
        </w:rPr>
        <w:t>; 2 = SEP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>; 3 = SEP</w:t>
      </w:r>
      <w:r w:rsidRPr="00C136E8">
        <w:rPr>
          <w:rFonts w:ascii="Times New Roman" w:hAnsi="Times New Roman"/>
          <w:sz w:val="24"/>
          <w:szCs w:val="24"/>
          <w:vertAlign w:val="subscript"/>
        </w:rPr>
        <w:t>3</w:t>
      </w:r>
    </w:p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bookmarkStart w:id="0" w:name="_GoBack"/>
      <w:r w:rsidRPr="00C136E8">
        <w:rPr>
          <w:rFonts w:ascii="Times New Roman" w:hAnsi="Times New Roman"/>
          <w:sz w:val="24"/>
          <w:szCs w:val="24"/>
        </w:rPr>
        <w:t>* Early mobility = α + upward mobility + downward mobility</w:t>
      </w:r>
    </w:p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 xml:space="preserve">                               = α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1</w:t>
      </w:r>
      <w:r w:rsidRPr="00C136E8">
        <w:rPr>
          <w:rFonts w:ascii="Times New Roman" w:hAnsi="Times New Roman"/>
          <w:sz w:val="24"/>
          <w:szCs w:val="24"/>
        </w:rPr>
        <w:t>(1-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>)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>(1- β</w:t>
      </w:r>
      <w:r w:rsidRPr="00C136E8">
        <w:rPr>
          <w:rFonts w:ascii="Times New Roman" w:hAnsi="Times New Roman"/>
          <w:sz w:val="24"/>
          <w:szCs w:val="24"/>
          <w:vertAlign w:val="subscript"/>
        </w:rPr>
        <w:t>1</w:t>
      </w:r>
      <w:r w:rsidRPr="00C136E8">
        <w:rPr>
          <w:rFonts w:ascii="Times New Roman" w:hAnsi="Times New Roman"/>
          <w:sz w:val="24"/>
          <w:szCs w:val="24"/>
        </w:rPr>
        <w:t>)</w:t>
      </w:r>
    </w:p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 xml:space="preserve">                               = α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1</w:t>
      </w:r>
      <w:r w:rsidRPr="00C136E8">
        <w:rPr>
          <w:rFonts w:ascii="Times New Roman" w:hAnsi="Times New Roman"/>
          <w:sz w:val="24"/>
          <w:szCs w:val="24"/>
        </w:rPr>
        <w:t xml:space="preserve">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 xml:space="preserve"> – (β</w:t>
      </w:r>
      <w:r w:rsidRPr="00C136E8">
        <w:rPr>
          <w:rFonts w:ascii="Times New Roman" w:hAnsi="Times New Roman"/>
          <w:sz w:val="24"/>
          <w:szCs w:val="24"/>
          <w:vertAlign w:val="subscript"/>
        </w:rPr>
        <w:t>1</w:t>
      </w:r>
      <w:r w:rsidRPr="00C136E8">
        <w:rPr>
          <w:rFonts w:ascii="Times New Roman" w:hAnsi="Times New Roman"/>
          <w:sz w:val="24"/>
          <w:szCs w:val="24"/>
        </w:rPr>
        <w:t xml:space="preserve">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>)</w:t>
      </w:r>
    </w:p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>* Adult mobility = α + upward mobility + downward mobility</w:t>
      </w:r>
    </w:p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lastRenderedPageBreak/>
        <w:t xml:space="preserve">                               = α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>(1- β</w:t>
      </w:r>
      <w:r w:rsidRPr="00C136E8">
        <w:rPr>
          <w:rFonts w:ascii="Times New Roman" w:hAnsi="Times New Roman"/>
          <w:sz w:val="24"/>
          <w:szCs w:val="24"/>
          <w:vertAlign w:val="subscript"/>
        </w:rPr>
        <w:t>3</w:t>
      </w:r>
      <w:r w:rsidRPr="00C136E8">
        <w:rPr>
          <w:rFonts w:ascii="Times New Roman" w:hAnsi="Times New Roman"/>
          <w:sz w:val="24"/>
          <w:szCs w:val="24"/>
        </w:rPr>
        <w:t>)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3</w:t>
      </w:r>
      <w:r w:rsidRPr="00C136E8">
        <w:rPr>
          <w:rFonts w:ascii="Times New Roman" w:hAnsi="Times New Roman"/>
          <w:sz w:val="24"/>
          <w:szCs w:val="24"/>
        </w:rPr>
        <w:t>(1-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>)</w:t>
      </w:r>
    </w:p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  <w:vertAlign w:val="subscript"/>
        </w:rPr>
      </w:pPr>
      <w:r w:rsidRPr="00C136E8">
        <w:rPr>
          <w:rFonts w:ascii="Times New Roman" w:hAnsi="Times New Roman"/>
          <w:sz w:val="24"/>
          <w:szCs w:val="24"/>
        </w:rPr>
        <w:t xml:space="preserve">                               = α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 xml:space="preserve">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3</w:t>
      </w:r>
      <w:r w:rsidRPr="00C136E8">
        <w:rPr>
          <w:rFonts w:ascii="Times New Roman" w:hAnsi="Times New Roman"/>
          <w:sz w:val="24"/>
          <w:szCs w:val="24"/>
        </w:rPr>
        <w:t xml:space="preserve"> – (β</w:t>
      </w:r>
      <w:r w:rsidRPr="00C136E8">
        <w:rPr>
          <w:rFonts w:ascii="Times New Roman" w:hAnsi="Times New Roman"/>
          <w:sz w:val="24"/>
          <w:szCs w:val="24"/>
          <w:vertAlign w:val="subscript"/>
        </w:rPr>
        <w:t>2</w:t>
      </w:r>
      <w:r w:rsidRPr="00C136E8">
        <w:rPr>
          <w:rFonts w:ascii="Times New Roman" w:hAnsi="Times New Roman"/>
          <w:sz w:val="24"/>
          <w:szCs w:val="24"/>
        </w:rPr>
        <w:t xml:space="preserve"> + β</w:t>
      </w:r>
      <w:r w:rsidRPr="00C136E8">
        <w:rPr>
          <w:rFonts w:ascii="Times New Roman" w:hAnsi="Times New Roman"/>
          <w:sz w:val="24"/>
          <w:szCs w:val="24"/>
          <w:vertAlign w:val="subscript"/>
        </w:rPr>
        <w:t>3</w:t>
      </w:r>
      <w:r w:rsidRPr="00C136E8">
        <w:rPr>
          <w:rFonts w:ascii="Times New Roman" w:hAnsi="Times New Roman"/>
          <w:sz w:val="24"/>
          <w:szCs w:val="24"/>
        </w:rPr>
        <w:t>)</w:t>
      </w:r>
    </w:p>
    <w:bookmarkEnd w:id="0"/>
    <w:p w:rsidR="005F410E" w:rsidRPr="003F7280" w:rsidRDefault="005F410E" w:rsidP="005F410E">
      <w:pPr>
        <w:spacing w:line="240" w:lineRule="auto"/>
        <w:contextualSpacing/>
        <w:rPr>
          <w:rFonts w:ascii="Times New Roman" w:hAnsi="Times New Roman"/>
          <w:sz w:val="24"/>
          <w:szCs w:val="24"/>
          <w:vertAlign w:val="subscript"/>
        </w:rPr>
      </w:pPr>
    </w:p>
    <w:p w:rsidR="005F410E" w:rsidRPr="003F7280" w:rsidRDefault="005F410E" w:rsidP="005F410E">
      <w:pPr>
        <w:spacing w:after="0" w:line="240" w:lineRule="auto"/>
        <w:ind w:left="-916" w:right="-1074" w:firstLine="916"/>
        <w:rPr>
          <w:rFonts w:ascii="Times New Roman" w:hAnsi="Times New Roman"/>
          <w:sz w:val="24"/>
          <w:szCs w:val="24"/>
        </w:rPr>
      </w:pPr>
    </w:p>
    <w:p w:rsidR="00BB5817" w:rsidRDefault="00BB5817"/>
    <w:sectPr w:rsidR="00BB5817" w:rsidSect="00631CE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characterSpacingControl w:val="doNotCompress"/>
  <w:compat/>
  <w:rsids>
    <w:rsidRoot w:val="005F410E"/>
    <w:rsid w:val="001D4FF9"/>
    <w:rsid w:val="00310916"/>
    <w:rsid w:val="00405031"/>
    <w:rsid w:val="00596CD1"/>
    <w:rsid w:val="005F410E"/>
    <w:rsid w:val="006D401B"/>
    <w:rsid w:val="00723C87"/>
    <w:rsid w:val="00844776"/>
    <w:rsid w:val="008F4786"/>
    <w:rsid w:val="00A84876"/>
    <w:rsid w:val="00BB5817"/>
    <w:rsid w:val="00D53666"/>
    <w:rsid w:val="00E1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410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mbacong</dc:creator>
  <cp:keywords/>
  <dc:description/>
  <cp:lastModifiedBy>manoche</cp:lastModifiedBy>
  <cp:revision>11</cp:revision>
  <dcterms:created xsi:type="dcterms:W3CDTF">2014-02-18T20:50:00Z</dcterms:created>
  <dcterms:modified xsi:type="dcterms:W3CDTF">2014-02-20T11:07:00Z</dcterms:modified>
</cp:coreProperties>
</file>