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83" w:rsidRDefault="00FD1C80">
      <w:pPr>
        <w:rPr>
          <w:rFonts w:ascii="Arial" w:hAnsi="Arial" w:cs="Arial"/>
          <w:noProof/>
        </w:rPr>
      </w:pPr>
      <w:bookmarkStart w:id="0" w:name="_GoBack"/>
      <w:bookmarkEnd w:id="0"/>
      <w:r w:rsidRPr="00FD1C80">
        <w:rPr>
          <w:rFonts w:ascii="Arial" w:hAnsi="Arial" w:cs="Arial"/>
          <w:noProof/>
        </w:rPr>
        <w:t>Figure 3. Pathway</w:t>
      </w:r>
      <w:r w:rsidR="00221E9F">
        <w:rPr>
          <w:rFonts w:ascii="Arial" w:hAnsi="Arial" w:cs="Arial"/>
          <w:noProof/>
        </w:rPr>
        <w:t>s</w:t>
      </w:r>
      <w:r w:rsidRPr="00FD1C80">
        <w:rPr>
          <w:rFonts w:ascii="Arial" w:hAnsi="Arial" w:cs="Arial"/>
          <w:noProof/>
        </w:rPr>
        <w:t xml:space="preserve"> of decision-making in relation to HPV vaccination of young women in high-income countries</w:t>
      </w:r>
    </w:p>
    <w:p w:rsidR="00DF21A5" w:rsidRDefault="00DF21A5">
      <w:r>
        <w:rPr>
          <w:noProof/>
        </w:rPr>
        <w:drawing>
          <wp:inline distT="0" distB="0" distL="0" distR="0" wp14:anchorId="6D5FE40A" wp14:editId="58E71B18">
            <wp:extent cx="9359778" cy="40829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59778" cy="408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21A5" w:rsidSect="00FD1C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80"/>
    <w:rsid w:val="00221E9F"/>
    <w:rsid w:val="00615747"/>
    <w:rsid w:val="006F4C5D"/>
    <w:rsid w:val="009A605A"/>
    <w:rsid w:val="00B648F9"/>
    <w:rsid w:val="00B67036"/>
    <w:rsid w:val="00CA2566"/>
    <w:rsid w:val="00D53C9A"/>
    <w:rsid w:val="00DF21A5"/>
    <w:rsid w:val="00FD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C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21E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1E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1E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E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E9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C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21E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1E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1E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E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E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epxhf</dc:creator>
  <cp:lastModifiedBy>epxhf</cp:lastModifiedBy>
  <cp:revision>2</cp:revision>
  <cp:lastPrinted>2014-06-11T11:31:00Z</cp:lastPrinted>
  <dcterms:created xsi:type="dcterms:W3CDTF">2014-06-12T08:57:00Z</dcterms:created>
  <dcterms:modified xsi:type="dcterms:W3CDTF">2014-06-12T08:57:00Z</dcterms:modified>
</cp:coreProperties>
</file>