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233" w:rsidRDefault="00226233" w:rsidP="00226233">
      <w:r>
        <w:t>Fig. 4B.</w:t>
      </w:r>
    </w:p>
    <w:p w:rsidR="00226233" w:rsidRDefault="00226233">
      <w:r>
        <w:rPr>
          <w:noProof/>
          <w:lang w:eastAsia="it-IT"/>
        </w:rPr>
        <w:drawing>
          <wp:inline distT="0" distB="0" distL="0" distR="0">
            <wp:extent cx="6267450" cy="3829050"/>
            <wp:effectExtent l="19050" t="0" r="19050" b="0"/>
            <wp:docPr id="4" name="Gra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86A9B" w:rsidRDefault="00D86A9B"/>
    <w:p w:rsidR="00B14E4E" w:rsidRDefault="00B14E4E">
      <w:r w:rsidRPr="00B14E4E">
        <w:rPr>
          <w:noProof/>
          <w:lang w:eastAsia="it-IT"/>
        </w:rPr>
        <w:drawing>
          <wp:inline distT="0" distB="0" distL="0" distR="0">
            <wp:extent cx="6267450" cy="3990975"/>
            <wp:effectExtent l="19050" t="0" r="19050" b="0"/>
            <wp:docPr id="7" name="Gra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B14E4E" w:rsidSect="009C4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B14E4E"/>
    <w:rsid w:val="000D1415"/>
    <w:rsid w:val="001F595D"/>
    <w:rsid w:val="00226233"/>
    <w:rsid w:val="003D699F"/>
    <w:rsid w:val="009C4736"/>
    <w:rsid w:val="00AD1E0F"/>
    <w:rsid w:val="00B14E4E"/>
    <w:rsid w:val="00D8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623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4E4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4E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I:\In%20lavorazione\Submitted\BMC_MSDl_telethermo%20knee\BMC_MSD_Telethermo%20knee\revisione\ROC.xlsm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I:\In%20lavorazione\Submitted\BMC_MSDl_telethermo%20knee\BMC_MSD_Telethermo%20knee\revisione\ROC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autoTitleDeleted val="1"/>
    <c:plotArea>
      <c:layout/>
      <c:scatterChart>
        <c:scatterStyle val="lineMarker"/>
        <c:ser>
          <c:idx val="0"/>
          <c:order val="0"/>
          <c:tx>
            <c:v>Soglia T</c:v>
          </c:tx>
          <c:spPr>
            <a:ln w="34925">
              <a:solidFill>
                <a:srgbClr val="FF0000"/>
              </a:solidFill>
              <a:prstDash val="solid"/>
            </a:ln>
            <a:effectLst/>
          </c:spPr>
          <c:marker>
            <c:symbol val="square"/>
            <c:size val="3"/>
            <c:spPr>
              <a:solidFill>
                <a:srgbClr val="FFFFFF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xVal>
            <c:numRef>
              <c:f>'Curve ROC1_HID2'!$A$1:$A$36</c:f>
              <c:numCache>
                <c:formatCode>0</c:formatCode>
                <c:ptCount val="3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2.9411764705882359E-2</c:v>
                </c:pt>
                <c:pt idx="11">
                  <c:v>2.9411764705882359E-2</c:v>
                </c:pt>
                <c:pt idx="12">
                  <c:v>2.9411764705882359E-2</c:v>
                </c:pt>
                <c:pt idx="13">
                  <c:v>2.9411764705882359E-2</c:v>
                </c:pt>
                <c:pt idx="14">
                  <c:v>2.9411764705882359E-2</c:v>
                </c:pt>
                <c:pt idx="15">
                  <c:v>2.9411764705882359E-2</c:v>
                </c:pt>
                <c:pt idx="16">
                  <c:v>2.9411764705882359E-2</c:v>
                </c:pt>
                <c:pt idx="17">
                  <c:v>2.9411764705882359E-2</c:v>
                </c:pt>
                <c:pt idx="18">
                  <c:v>2.9411764705882359E-2</c:v>
                </c:pt>
                <c:pt idx="19">
                  <c:v>5.8823529411764719E-2</c:v>
                </c:pt>
                <c:pt idx="20">
                  <c:v>8.8235294117647106E-2</c:v>
                </c:pt>
                <c:pt idx="21">
                  <c:v>0.17647058823529421</c:v>
                </c:pt>
                <c:pt idx="22">
                  <c:v>0.26470588235294124</c:v>
                </c:pt>
                <c:pt idx="23">
                  <c:v>0.32352941176470607</c:v>
                </c:pt>
                <c:pt idx="24">
                  <c:v>0.38235294117647078</c:v>
                </c:pt>
                <c:pt idx="25">
                  <c:v>0.47058823529411786</c:v>
                </c:pt>
                <c:pt idx="26">
                  <c:v>0.52941176470588236</c:v>
                </c:pt>
                <c:pt idx="27">
                  <c:v>0.58823529411764686</c:v>
                </c:pt>
                <c:pt idx="28">
                  <c:v>0.70588235294117663</c:v>
                </c:pt>
                <c:pt idx="29">
                  <c:v>0.7352941176470591</c:v>
                </c:pt>
                <c:pt idx="30">
                  <c:v>0.79411764705882371</c:v>
                </c:pt>
                <c:pt idx="31">
                  <c:v>0.85294117647058887</c:v>
                </c:pt>
                <c:pt idx="32">
                  <c:v>0.88235294117647056</c:v>
                </c:pt>
                <c:pt idx="33">
                  <c:v>0.91176470588235248</c:v>
                </c:pt>
                <c:pt idx="34">
                  <c:v>0.97058823529411764</c:v>
                </c:pt>
                <c:pt idx="35">
                  <c:v>1</c:v>
                </c:pt>
              </c:numCache>
            </c:numRef>
          </c:xVal>
          <c:yVal>
            <c:numRef>
              <c:f>'Curve ROC1_HID2'!$B$1:$B$36</c:f>
              <c:numCache>
                <c:formatCode>0</c:formatCode>
                <c:ptCount val="36"/>
                <c:pt idx="0">
                  <c:v>0</c:v>
                </c:pt>
                <c:pt idx="1">
                  <c:v>2.7777777777777801E-2</c:v>
                </c:pt>
                <c:pt idx="2">
                  <c:v>5.5555555555555525E-2</c:v>
                </c:pt>
                <c:pt idx="3">
                  <c:v>8.3333333333333343E-2</c:v>
                </c:pt>
                <c:pt idx="4">
                  <c:v>0.1111111111111111</c:v>
                </c:pt>
                <c:pt idx="5">
                  <c:v>0.1388888888888889</c:v>
                </c:pt>
                <c:pt idx="6">
                  <c:v>0.19444444444444456</c:v>
                </c:pt>
                <c:pt idx="7">
                  <c:v>0.22222222222222221</c:v>
                </c:pt>
                <c:pt idx="8">
                  <c:v>0.25</c:v>
                </c:pt>
                <c:pt idx="9">
                  <c:v>0.30555555555555558</c:v>
                </c:pt>
                <c:pt idx="10">
                  <c:v>0.33333333333333331</c:v>
                </c:pt>
                <c:pt idx="11">
                  <c:v>0.3611111111111111</c:v>
                </c:pt>
                <c:pt idx="12">
                  <c:v>0.44444444444444442</c:v>
                </c:pt>
                <c:pt idx="13">
                  <c:v>0.47222222222222232</c:v>
                </c:pt>
                <c:pt idx="14">
                  <c:v>0.52777777777777779</c:v>
                </c:pt>
                <c:pt idx="15">
                  <c:v>0.55555555555555569</c:v>
                </c:pt>
                <c:pt idx="16">
                  <c:v>0.61111111111111138</c:v>
                </c:pt>
                <c:pt idx="17">
                  <c:v>0.63888888888888906</c:v>
                </c:pt>
                <c:pt idx="18">
                  <c:v>0.75000000000000022</c:v>
                </c:pt>
                <c:pt idx="19">
                  <c:v>0.83333333333333359</c:v>
                </c:pt>
                <c:pt idx="20">
                  <c:v>0.88888888888888884</c:v>
                </c:pt>
                <c:pt idx="21">
                  <c:v>0.91666666666666652</c:v>
                </c:pt>
                <c:pt idx="22">
                  <c:v>0.91666666666666652</c:v>
                </c:pt>
                <c:pt idx="23">
                  <c:v>0.94444444444444464</c:v>
                </c:pt>
                <c:pt idx="24">
                  <c:v>0.97222222222222221</c:v>
                </c:pt>
                <c:pt idx="25">
                  <c:v>0.97222222222222221</c:v>
                </c:pt>
                <c:pt idx="26">
                  <c:v>0.97222222222222221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</c:numCache>
            </c:numRef>
          </c:yVal>
        </c:ser>
        <c:ser>
          <c:idx val="1"/>
          <c:order val="1"/>
          <c:spPr>
            <a:ln w="127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Lit>
              <c:formatCode>General</c:formatCode>
              <c:ptCount val="2"/>
              <c:pt idx="0">
                <c:v>0</c:v>
              </c:pt>
              <c:pt idx="1">
                <c:v>1</c:v>
              </c:pt>
            </c:numLit>
          </c:xVal>
          <c:yVal>
            <c:numLit>
              <c:formatCode>General</c:formatCode>
              <c:ptCount val="2"/>
              <c:pt idx="0">
                <c:v>0</c:v>
              </c:pt>
              <c:pt idx="1">
                <c:v>1</c:v>
              </c:pt>
            </c:numLit>
          </c:yVal>
        </c:ser>
        <c:axId val="99697024"/>
        <c:axId val="99699712"/>
      </c:scatterChart>
      <c:valAx>
        <c:axId val="99697024"/>
        <c:scaling>
          <c:orientation val="minMax"/>
          <c:max val="1"/>
          <c:min val="0"/>
        </c:scaling>
        <c:axPos val="b"/>
        <c:title>
          <c:tx>
            <c:rich>
              <a:bodyPr/>
              <a:lstStyle/>
              <a:p>
                <a:pPr>
                  <a:defRPr sz="1600" b="1"/>
                </a:pPr>
                <a:r>
                  <a:rPr lang="it-IT" sz="1600" b="1" i="0" baseline="0"/>
                  <a:t>False negative (1 - Specificity)</a:t>
                </a:r>
              </a:p>
            </c:rich>
          </c:tx>
          <c:layout>
            <c:manualLayout>
              <c:xMode val="edge"/>
              <c:yMode val="edge"/>
              <c:x val="0.34451714812244216"/>
              <c:y val="0.90537313432835831"/>
            </c:manualLayout>
          </c:layout>
        </c:title>
        <c:numFmt formatCode="General" sourceLinked="0"/>
        <c:majorTickMark val="cross"/>
        <c:tickLblPos val="nextTo"/>
        <c:txPr>
          <a:bodyPr/>
          <a:lstStyle/>
          <a:p>
            <a:pPr>
              <a:defRPr sz="1200" b="1"/>
            </a:pPr>
            <a:endParaRPr lang="it-IT"/>
          </a:p>
        </c:txPr>
        <c:crossAx val="99699712"/>
        <c:crosses val="autoZero"/>
        <c:crossBetween val="midCat"/>
        <c:majorUnit val="0.1"/>
      </c:valAx>
      <c:valAx>
        <c:axId val="99699712"/>
        <c:scaling>
          <c:orientation val="minMax"/>
          <c:max val="1"/>
          <c:min val="0"/>
        </c:scaling>
        <c:axPos val="l"/>
        <c:title>
          <c:tx>
            <c:rich>
              <a:bodyPr/>
              <a:lstStyle/>
              <a:p>
                <a:pPr>
                  <a:defRPr sz="1600" b="1"/>
                </a:pPr>
                <a:r>
                  <a:rPr lang="it-IT" sz="1600" b="1" i="0" baseline="0"/>
                  <a:t>True Positive (Sensitivity)</a:t>
                </a:r>
              </a:p>
            </c:rich>
          </c:tx>
          <c:layout>
            <c:manualLayout>
              <c:xMode val="edge"/>
              <c:yMode val="edge"/>
              <c:x val="1.0131712259371834E-2"/>
              <c:y val="0.13385278332745718"/>
            </c:manualLayout>
          </c:layout>
        </c:title>
        <c:numFmt formatCode="General" sourceLinked="0"/>
        <c:majorTickMark val="cross"/>
        <c:tickLblPos val="nextTo"/>
        <c:txPr>
          <a:bodyPr/>
          <a:lstStyle/>
          <a:p>
            <a:pPr>
              <a:defRPr sz="1200" b="1"/>
            </a:pPr>
            <a:endParaRPr lang="it-IT"/>
          </a:p>
        </c:txPr>
        <c:crossAx val="99697024"/>
        <c:crosses val="autoZero"/>
        <c:crossBetween val="midCat"/>
      </c:valAx>
      <c:spPr>
        <a:ln>
          <a:solidFill>
            <a:srgbClr val="808080"/>
          </a:solidFill>
          <a:prstDash val="solid"/>
        </a:ln>
      </c:spPr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autoTitleDeleted val="1"/>
    <c:plotArea>
      <c:layout/>
      <c:scatterChart>
        <c:scatterStyle val="lineMarker"/>
        <c:ser>
          <c:idx val="0"/>
          <c:order val="0"/>
          <c:tx>
            <c:strRef>
              <c:f>'HS ROC'!$C$42</c:f>
              <c:strCache>
                <c:ptCount val="1"/>
                <c:pt idx="0">
                  <c:v>Sensibilità</c:v>
                </c:pt>
              </c:strCache>
            </c:strRef>
          </c:tx>
          <c:spPr>
            <a:ln>
              <a:solidFill>
                <a:srgbClr val="FF0000"/>
              </a:solidFill>
              <a:prstDash val="solid"/>
            </a:ln>
          </c:spPr>
          <c:marker>
            <c:symbol val="square"/>
            <c:size val="3"/>
            <c:spPr>
              <a:solidFill>
                <a:srgbClr val="FFFFFF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xVal>
            <c:numRef>
              <c:f>'HS ROC'!$B$43:$B$77</c:f>
              <c:numCache>
                <c:formatCode>0.000</c:formatCode>
                <c:ptCount val="35"/>
                <c:pt idx="0">
                  <c:v>-0.9</c:v>
                </c:pt>
                <c:pt idx="1">
                  <c:v>-0.5</c:v>
                </c:pt>
                <c:pt idx="2">
                  <c:v>-0.30000000000000004</c:v>
                </c:pt>
                <c:pt idx="3">
                  <c:v>-0.2</c:v>
                </c:pt>
                <c:pt idx="4">
                  <c:v>-0.1</c:v>
                </c:pt>
                <c:pt idx="5">
                  <c:v>0</c:v>
                </c:pt>
                <c:pt idx="6">
                  <c:v>0.1</c:v>
                </c:pt>
                <c:pt idx="7">
                  <c:v>0.2</c:v>
                </c:pt>
                <c:pt idx="8">
                  <c:v>0.30000000000000004</c:v>
                </c:pt>
                <c:pt idx="9">
                  <c:v>0.4</c:v>
                </c:pt>
                <c:pt idx="10">
                  <c:v>0.5</c:v>
                </c:pt>
                <c:pt idx="11">
                  <c:v>0.60000000000000009</c:v>
                </c:pt>
                <c:pt idx="12">
                  <c:v>0.70000000000000007</c:v>
                </c:pt>
                <c:pt idx="13">
                  <c:v>0.8</c:v>
                </c:pt>
                <c:pt idx="14">
                  <c:v>0.9</c:v>
                </c:pt>
                <c:pt idx="15">
                  <c:v>1</c:v>
                </c:pt>
                <c:pt idx="16">
                  <c:v>1.1000000000000001</c:v>
                </c:pt>
                <c:pt idx="17">
                  <c:v>1.2</c:v>
                </c:pt>
                <c:pt idx="18">
                  <c:v>1.3</c:v>
                </c:pt>
                <c:pt idx="19">
                  <c:v>1.4</c:v>
                </c:pt>
                <c:pt idx="20">
                  <c:v>1.5</c:v>
                </c:pt>
                <c:pt idx="21">
                  <c:v>1.6</c:v>
                </c:pt>
                <c:pt idx="22">
                  <c:v>1.7</c:v>
                </c:pt>
                <c:pt idx="23">
                  <c:v>1.8</c:v>
                </c:pt>
                <c:pt idx="24">
                  <c:v>2</c:v>
                </c:pt>
                <c:pt idx="25">
                  <c:v>2.2000000000000002</c:v>
                </c:pt>
                <c:pt idx="26">
                  <c:v>2.2999999999999998</c:v>
                </c:pt>
                <c:pt idx="27">
                  <c:v>2.5</c:v>
                </c:pt>
                <c:pt idx="28">
                  <c:v>2.8</c:v>
                </c:pt>
                <c:pt idx="29">
                  <c:v>3</c:v>
                </c:pt>
                <c:pt idx="30">
                  <c:v>3.4</c:v>
                </c:pt>
                <c:pt idx="31">
                  <c:v>3.5</c:v>
                </c:pt>
                <c:pt idx="32">
                  <c:v>3.8</c:v>
                </c:pt>
                <c:pt idx="33">
                  <c:v>4</c:v>
                </c:pt>
                <c:pt idx="34">
                  <c:v>6.3</c:v>
                </c:pt>
              </c:numCache>
            </c:numRef>
          </c:xVal>
          <c:yVal>
            <c:numRef>
              <c:f>'HS ROC'!$C$43:$C$77</c:f>
              <c:numCache>
                <c:formatCode>0.000</c:formatCode>
                <c:ptCount val="3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0.97222222222222221</c:v>
                </c:pt>
                <c:pt idx="10">
                  <c:v>0.97222222222222221</c:v>
                </c:pt>
                <c:pt idx="11">
                  <c:v>0.97222222222222221</c:v>
                </c:pt>
                <c:pt idx="12">
                  <c:v>0.94444444444444453</c:v>
                </c:pt>
                <c:pt idx="13">
                  <c:v>0.91666666666666652</c:v>
                </c:pt>
                <c:pt idx="14">
                  <c:v>0.91666666666666652</c:v>
                </c:pt>
                <c:pt idx="15">
                  <c:v>0.88888888888888884</c:v>
                </c:pt>
                <c:pt idx="16">
                  <c:v>0.83333333333333348</c:v>
                </c:pt>
                <c:pt idx="17">
                  <c:v>0.75000000000000011</c:v>
                </c:pt>
                <c:pt idx="18">
                  <c:v>0.63888888888888895</c:v>
                </c:pt>
                <c:pt idx="19">
                  <c:v>0.61111111111111127</c:v>
                </c:pt>
                <c:pt idx="20">
                  <c:v>0.55555555555555569</c:v>
                </c:pt>
                <c:pt idx="21">
                  <c:v>0.52777777777777779</c:v>
                </c:pt>
                <c:pt idx="22">
                  <c:v>0.47222222222222227</c:v>
                </c:pt>
                <c:pt idx="23">
                  <c:v>0.44444444444444442</c:v>
                </c:pt>
                <c:pt idx="24">
                  <c:v>0.3611111111111111</c:v>
                </c:pt>
                <c:pt idx="25">
                  <c:v>0.33333333333333331</c:v>
                </c:pt>
                <c:pt idx="26">
                  <c:v>0.30555555555555558</c:v>
                </c:pt>
                <c:pt idx="27">
                  <c:v>0.25</c:v>
                </c:pt>
                <c:pt idx="28">
                  <c:v>0.22222222222222221</c:v>
                </c:pt>
                <c:pt idx="29">
                  <c:v>0.1944444444444445</c:v>
                </c:pt>
                <c:pt idx="30">
                  <c:v>0.1388888888888889</c:v>
                </c:pt>
                <c:pt idx="31">
                  <c:v>0.1111111111111111</c:v>
                </c:pt>
                <c:pt idx="32">
                  <c:v>8.3333333333333343E-2</c:v>
                </c:pt>
                <c:pt idx="33">
                  <c:v>5.5555555555555539E-2</c:v>
                </c:pt>
                <c:pt idx="34">
                  <c:v>2.777777777777779E-2</c:v>
                </c:pt>
              </c:numCache>
            </c:numRef>
          </c:yVal>
        </c:ser>
        <c:ser>
          <c:idx val="1"/>
          <c:order val="1"/>
          <c:tx>
            <c:v>Specificità</c:v>
          </c:tx>
          <c:spPr>
            <a:ln w="12700">
              <a:solidFill>
                <a:srgbClr val="FF0000"/>
              </a:solidFill>
              <a:prstDash val="solid"/>
            </a:ln>
            <a:effectLst/>
          </c:spPr>
          <c:marker>
            <c:symbol val="square"/>
            <c:size val="3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xVal>
            <c:numRef>
              <c:f>'HS ROC'!$B$43:$B$77</c:f>
              <c:numCache>
                <c:formatCode>0.000</c:formatCode>
                <c:ptCount val="35"/>
                <c:pt idx="0">
                  <c:v>-0.9</c:v>
                </c:pt>
                <c:pt idx="1">
                  <c:v>-0.5</c:v>
                </c:pt>
                <c:pt idx="2">
                  <c:v>-0.30000000000000004</c:v>
                </c:pt>
                <c:pt idx="3">
                  <c:v>-0.2</c:v>
                </c:pt>
                <c:pt idx="4">
                  <c:v>-0.1</c:v>
                </c:pt>
                <c:pt idx="5">
                  <c:v>0</c:v>
                </c:pt>
                <c:pt idx="6">
                  <c:v>0.1</c:v>
                </c:pt>
                <c:pt idx="7">
                  <c:v>0.2</c:v>
                </c:pt>
                <c:pt idx="8">
                  <c:v>0.30000000000000004</c:v>
                </c:pt>
                <c:pt idx="9">
                  <c:v>0.4</c:v>
                </c:pt>
                <c:pt idx="10">
                  <c:v>0.5</c:v>
                </c:pt>
                <c:pt idx="11">
                  <c:v>0.60000000000000009</c:v>
                </c:pt>
                <c:pt idx="12">
                  <c:v>0.70000000000000007</c:v>
                </c:pt>
                <c:pt idx="13">
                  <c:v>0.8</c:v>
                </c:pt>
                <c:pt idx="14">
                  <c:v>0.9</c:v>
                </c:pt>
                <c:pt idx="15">
                  <c:v>1</c:v>
                </c:pt>
                <c:pt idx="16">
                  <c:v>1.1000000000000001</c:v>
                </c:pt>
                <c:pt idx="17">
                  <c:v>1.2</c:v>
                </c:pt>
                <c:pt idx="18">
                  <c:v>1.3</c:v>
                </c:pt>
                <c:pt idx="19">
                  <c:v>1.4</c:v>
                </c:pt>
                <c:pt idx="20">
                  <c:v>1.5</c:v>
                </c:pt>
                <c:pt idx="21">
                  <c:v>1.6</c:v>
                </c:pt>
                <c:pt idx="22">
                  <c:v>1.7</c:v>
                </c:pt>
                <c:pt idx="23">
                  <c:v>1.8</c:v>
                </c:pt>
                <c:pt idx="24">
                  <c:v>2</c:v>
                </c:pt>
                <c:pt idx="25">
                  <c:v>2.2000000000000002</c:v>
                </c:pt>
                <c:pt idx="26">
                  <c:v>2.2999999999999998</c:v>
                </c:pt>
                <c:pt idx="27">
                  <c:v>2.5</c:v>
                </c:pt>
                <c:pt idx="28">
                  <c:v>2.8</c:v>
                </c:pt>
                <c:pt idx="29">
                  <c:v>3</c:v>
                </c:pt>
                <c:pt idx="30">
                  <c:v>3.4</c:v>
                </c:pt>
                <c:pt idx="31">
                  <c:v>3.5</c:v>
                </c:pt>
                <c:pt idx="32">
                  <c:v>3.8</c:v>
                </c:pt>
                <c:pt idx="33">
                  <c:v>4</c:v>
                </c:pt>
                <c:pt idx="34">
                  <c:v>6.3</c:v>
                </c:pt>
              </c:numCache>
            </c:numRef>
          </c:xVal>
          <c:yVal>
            <c:numRef>
              <c:f>'HS ROC'!$F$43:$F$77</c:f>
              <c:numCache>
                <c:formatCode>0.000</c:formatCode>
                <c:ptCount val="35"/>
                <c:pt idx="0">
                  <c:v>0</c:v>
                </c:pt>
                <c:pt idx="1">
                  <c:v>2.9411764705882353E-2</c:v>
                </c:pt>
                <c:pt idx="2">
                  <c:v>8.8235294117647078E-2</c:v>
                </c:pt>
                <c:pt idx="3">
                  <c:v>0.11764705882352942</c:v>
                </c:pt>
                <c:pt idx="4">
                  <c:v>0.1470588235294118</c:v>
                </c:pt>
                <c:pt idx="5">
                  <c:v>0.20588235294117646</c:v>
                </c:pt>
                <c:pt idx="6">
                  <c:v>0.26470588235294124</c:v>
                </c:pt>
                <c:pt idx="7">
                  <c:v>0.29411764705882359</c:v>
                </c:pt>
                <c:pt idx="8">
                  <c:v>0.41176470588235298</c:v>
                </c:pt>
                <c:pt idx="9">
                  <c:v>0.47058823529411775</c:v>
                </c:pt>
                <c:pt idx="10">
                  <c:v>0.52941176470588236</c:v>
                </c:pt>
                <c:pt idx="11">
                  <c:v>0.61764705882352966</c:v>
                </c:pt>
                <c:pt idx="12">
                  <c:v>0.67647058823529427</c:v>
                </c:pt>
                <c:pt idx="13">
                  <c:v>0.73529411764705899</c:v>
                </c:pt>
                <c:pt idx="14">
                  <c:v>0.82352941176470584</c:v>
                </c:pt>
                <c:pt idx="15">
                  <c:v>0.9117647058823527</c:v>
                </c:pt>
                <c:pt idx="16">
                  <c:v>0.94117647058823539</c:v>
                </c:pt>
                <c:pt idx="17">
                  <c:v>0.97058823529411764</c:v>
                </c:pt>
                <c:pt idx="18">
                  <c:v>0.97058823529411764</c:v>
                </c:pt>
                <c:pt idx="19">
                  <c:v>0.97058823529411764</c:v>
                </c:pt>
                <c:pt idx="20">
                  <c:v>0.97058823529411764</c:v>
                </c:pt>
                <c:pt idx="21">
                  <c:v>0.97058823529411764</c:v>
                </c:pt>
                <c:pt idx="22">
                  <c:v>0.97058823529411764</c:v>
                </c:pt>
                <c:pt idx="23">
                  <c:v>0.97058823529411764</c:v>
                </c:pt>
                <c:pt idx="24">
                  <c:v>0.97058823529411764</c:v>
                </c:pt>
                <c:pt idx="25">
                  <c:v>0.97058823529411764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</c:numCache>
            </c:numRef>
          </c:yVal>
        </c:ser>
        <c:axId val="42038400"/>
        <c:axId val="108038784"/>
      </c:scatterChart>
      <c:valAx>
        <c:axId val="42038400"/>
        <c:scaling>
          <c:orientation val="minMax"/>
          <c:max val="6.6"/>
          <c:min val="-1"/>
        </c:scaling>
        <c:axPos val="b"/>
        <c:title>
          <c:tx>
            <c:rich>
              <a:bodyPr/>
              <a:lstStyle/>
              <a:p>
                <a:pPr>
                  <a:defRPr sz="1400" b="1"/>
                </a:pPr>
                <a:r>
                  <a:rPr lang="it-IT" sz="1400"/>
                  <a:t>°C</a:t>
                </a:r>
                <a:r>
                  <a:rPr lang="it-IT" sz="1400" baseline="0"/>
                  <a:t> </a:t>
                </a:r>
                <a:endParaRPr lang="it-IT" sz="1400"/>
              </a:p>
            </c:rich>
          </c:tx>
          <c:layout>
            <c:manualLayout>
              <c:xMode val="edge"/>
              <c:yMode val="edge"/>
              <c:x val="0.49602852834885003"/>
              <c:y val="0.91514705053276468"/>
            </c:manualLayout>
          </c:layout>
        </c:title>
        <c:numFmt formatCode="General" sourceLinked="0"/>
        <c:majorTickMark val="cross"/>
        <c:tickLblPos val="nextTo"/>
        <c:txPr>
          <a:bodyPr/>
          <a:lstStyle/>
          <a:p>
            <a:pPr>
              <a:defRPr sz="1200" b="1"/>
            </a:pPr>
            <a:endParaRPr lang="it-IT"/>
          </a:p>
        </c:txPr>
        <c:crossAx val="108038784"/>
        <c:crosses val="autoZero"/>
        <c:crossBetween val="midCat"/>
        <c:majorUnit val="0.5"/>
      </c:valAx>
      <c:valAx>
        <c:axId val="108038784"/>
        <c:scaling>
          <c:orientation val="minMax"/>
          <c:max val="1"/>
          <c:min val="0"/>
        </c:scaling>
        <c:axPos val="l"/>
        <c:title>
          <c:tx>
            <c:rich>
              <a:bodyPr/>
              <a:lstStyle/>
              <a:p>
                <a:pPr>
                  <a:defRPr sz="1100" b="1"/>
                </a:pPr>
                <a:r>
                  <a:rPr lang="it-IT" sz="1400" b="1" i="0" baseline="0"/>
                  <a:t>Sensitivity / Specificity</a:t>
                </a:r>
                <a:endParaRPr lang="it-IT" sz="1100"/>
              </a:p>
            </c:rich>
          </c:tx>
          <c:layout>
            <c:manualLayout>
              <c:xMode val="edge"/>
              <c:yMode val="edge"/>
              <c:x val="6.0790273556231003E-3"/>
              <c:y val="0.21350547172056952"/>
            </c:manualLayout>
          </c:layout>
        </c:title>
        <c:numFmt formatCode="General" sourceLinked="0"/>
        <c:majorTickMark val="cross"/>
        <c:tickLblPos val="nextTo"/>
        <c:txPr>
          <a:bodyPr/>
          <a:lstStyle/>
          <a:p>
            <a:pPr>
              <a:defRPr sz="1200" b="1"/>
            </a:pPr>
            <a:endParaRPr lang="it-IT"/>
          </a:p>
        </c:txPr>
        <c:crossAx val="42038400"/>
        <c:crosses val="autoZero"/>
        <c:crossBetween val="midCat"/>
      </c:valAx>
      <c:spPr>
        <a:ln>
          <a:solidFill>
            <a:srgbClr val="808080"/>
          </a:solidFill>
          <a:prstDash val="solid"/>
        </a:ln>
      </c:spPr>
    </c:plotArea>
    <c:plotVisOnly val="1"/>
  </c:chart>
  <c:externalData r:id="rId1"/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0.29635</cdr:x>
      <cdr:y>0.02387</cdr:y>
    </cdr:from>
    <cdr:to>
      <cdr:x>0.30243</cdr:x>
      <cdr:y>0.83522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857375" y="95250"/>
          <a:ext cx="38095" cy="3238095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Rev1</dc:creator>
  <cp:lastModifiedBy>Rev1</cp:lastModifiedBy>
  <cp:revision>3</cp:revision>
  <dcterms:created xsi:type="dcterms:W3CDTF">2012-12-27T11:29:00Z</dcterms:created>
  <dcterms:modified xsi:type="dcterms:W3CDTF">2012-12-27T13:23:00Z</dcterms:modified>
</cp:coreProperties>
</file>