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665" w:rsidRDefault="00CF5665" w:rsidP="00CF5665">
      <w:pPr>
        <w:spacing w:line="240" w:lineRule="auto"/>
        <w:rPr>
          <w:rFonts w:ascii="Garamond" w:hAnsi="Garamond" w:cs="Arial"/>
          <w:noProof/>
        </w:rPr>
      </w:pPr>
      <w:proofErr w:type="gramStart"/>
      <w:r w:rsidRPr="00AA2CEC">
        <w:rPr>
          <w:rFonts w:ascii="Garamond" w:hAnsi="Garamond" w:cs="Arial"/>
          <w:b/>
        </w:rPr>
        <w:t>Figure 2b.</w:t>
      </w:r>
      <w:proofErr w:type="gramEnd"/>
      <w:r w:rsidRPr="000B468B">
        <w:rPr>
          <w:rFonts w:ascii="Arial" w:hAnsi="Arial" w:cs="Arial"/>
          <w:b/>
        </w:rPr>
        <w:t xml:space="preserve"> </w:t>
      </w:r>
      <w:r w:rsidRPr="000B468B">
        <w:rPr>
          <w:rFonts w:ascii="Garamond" w:hAnsi="Garamond" w:cs="Arial"/>
        </w:rPr>
        <w:t>Scatter plot of adjusted probability of functional recovery and 5-year probability of freedom from Biochemical recurrence (BCR) at 18 months postoperatively.</w:t>
      </w:r>
      <w:r w:rsidRPr="00AA2CEC">
        <w:rPr>
          <w:rFonts w:ascii="Garamond" w:hAnsi="Garamond" w:cs="Arial"/>
          <w:noProof/>
        </w:rPr>
        <w:t xml:space="preserve"> </w:t>
      </w:r>
    </w:p>
    <w:p w:rsidR="00CF5665" w:rsidRDefault="00CF5665" w:rsidP="00CF5665">
      <w:pPr>
        <w:spacing w:line="240" w:lineRule="auto"/>
        <w:rPr>
          <w:rFonts w:ascii="Garamond" w:hAnsi="Garamond" w:cs="Arial"/>
          <w:noProof/>
        </w:rPr>
      </w:pPr>
    </w:p>
    <w:p w:rsidR="00CF5665" w:rsidRDefault="00CF5665" w:rsidP="00CF5665">
      <w:pPr>
        <w:spacing w:line="480" w:lineRule="auto"/>
        <w:rPr>
          <w:rFonts w:ascii="Garamond" w:hAnsi="Garamond" w:cs="Arial"/>
        </w:rPr>
      </w:pPr>
      <w:r>
        <w:rPr>
          <w:rFonts w:ascii="Garamond" w:hAnsi="Garamond" w:cs="Arial"/>
          <w:noProof/>
        </w:rPr>
        <w:drawing>
          <wp:inline distT="0" distB="0" distL="0" distR="0">
            <wp:extent cx="5939790" cy="4316095"/>
            <wp:effectExtent l="0" t="0" r="3810" b="8255"/>
            <wp:docPr id="1" name="Picture 1" descr="2013-01-08 FIGURE 2b - scatter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3-01-08 FIGURE 2b - scatter plo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1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665" w:rsidRPr="009D4726" w:rsidRDefault="00CF5665" w:rsidP="00CF5665">
      <w:pPr>
        <w:rPr>
          <w:rFonts w:ascii="Garamond" w:hAnsi="Garamond"/>
        </w:rPr>
      </w:pPr>
      <w:r>
        <w:rPr>
          <w:rFonts w:ascii="Garamond" w:hAnsi="Garamond"/>
        </w:rPr>
        <w:t>Spearman rank’s correlation 0.03 (95% CI -0.65 to 0.68, p=0.93</w:t>
      </w:r>
      <w:r w:rsidRPr="009D4726">
        <w:rPr>
          <w:rFonts w:ascii="Garamond" w:hAnsi="Garamond"/>
        </w:rPr>
        <w:t>)</w:t>
      </w:r>
    </w:p>
    <w:p w:rsidR="00BD5D52" w:rsidRDefault="00BD5D52">
      <w:bookmarkStart w:id="0" w:name="_GoBack"/>
      <w:bookmarkEnd w:id="0"/>
    </w:p>
    <w:sectPr w:rsidR="00BD5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665"/>
    <w:rsid w:val="00BD5D52"/>
    <w:rsid w:val="00CF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66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5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66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66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5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66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>Harvard School of Public Health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ICF</dc:creator>
  <cp:keywords/>
  <dc:description/>
  <cp:lastModifiedBy>ICF</cp:lastModifiedBy>
  <cp:revision>1</cp:revision>
  <dcterms:created xsi:type="dcterms:W3CDTF">2013-07-23T17:37:00Z</dcterms:created>
  <dcterms:modified xsi:type="dcterms:W3CDTF">2013-07-23T17:37:00Z</dcterms:modified>
</cp:coreProperties>
</file>