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178" w:rsidRDefault="00400178" w:rsidP="00400178">
      <w:pPr>
        <w:jc w:val="center"/>
        <w:rPr>
          <w:sz w:val="20"/>
        </w:rPr>
      </w:pPr>
      <w:r>
        <w:rPr>
          <w:noProof/>
          <w:sz w:val="20"/>
          <w:lang w:val="en-US" w:eastAsia="en-US"/>
        </w:rPr>
        <w:drawing>
          <wp:inline distT="0" distB="0" distL="0" distR="0">
            <wp:extent cx="4531360" cy="2407920"/>
            <wp:effectExtent l="0" t="0" r="0" b="5080"/>
            <wp:docPr id="1" name="Bild 1"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pic:cNvPicPr>
                      <a:picLocks noChangeAspect="1" noChangeArrowheads="1"/>
                    </pic:cNvPicPr>
                  </pic:nvPicPr>
                  <pic:blipFill>
                    <a:blip r:embed="rId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31360" cy="2407920"/>
                    </a:xfrm>
                    <a:prstGeom prst="rect">
                      <a:avLst/>
                    </a:prstGeom>
                    <a:noFill/>
                    <a:ln>
                      <a:noFill/>
                    </a:ln>
                  </pic:spPr>
                </pic:pic>
              </a:graphicData>
            </a:graphic>
          </wp:inline>
        </w:drawing>
      </w:r>
    </w:p>
    <w:p w:rsidR="00400178" w:rsidRDefault="00400178" w:rsidP="00400178">
      <w:pPr>
        <w:rPr>
          <w:rFonts w:ascii="Arial" w:hAnsi="Arial"/>
          <w:b/>
          <w:lang w:val="en-US"/>
        </w:rPr>
      </w:pPr>
    </w:p>
    <w:p w:rsidR="00400178" w:rsidRDefault="00400178" w:rsidP="00400178">
      <w:pPr>
        <w:rPr>
          <w:rFonts w:ascii="Arial" w:hAnsi="Arial"/>
          <w:b/>
          <w:lang w:val="en-US"/>
        </w:rPr>
      </w:pPr>
    </w:p>
    <w:p w:rsidR="00400178" w:rsidRDefault="00400178" w:rsidP="00400178">
      <w:pPr>
        <w:rPr>
          <w:rFonts w:ascii="Arial" w:hAnsi="Arial"/>
          <w:b/>
          <w:lang w:val="en-US"/>
        </w:rPr>
      </w:pPr>
    </w:p>
    <w:p w:rsidR="00400178" w:rsidRPr="00CC2387" w:rsidRDefault="00400178" w:rsidP="00400178">
      <w:pPr>
        <w:spacing w:line="360" w:lineRule="auto"/>
        <w:rPr>
          <w:rFonts w:ascii="Arial" w:hAnsi="Arial"/>
          <w:sz w:val="20"/>
          <w:lang w:val="en-US"/>
        </w:rPr>
      </w:pPr>
      <w:r w:rsidRPr="00CC2387">
        <w:rPr>
          <w:rFonts w:ascii="Arial" w:hAnsi="Arial"/>
          <w:sz w:val="20"/>
          <w:lang w:val="en-US"/>
        </w:rPr>
        <w:t>Supplementary Fig</w:t>
      </w:r>
      <w:r>
        <w:rPr>
          <w:rFonts w:ascii="Arial" w:hAnsi="Arial"/>
          <w:sz w:val="20"/>
          <w:lang w:val="en-US"/>
        </w:rPr>
        <w:t>ure</w:t>
      </w:r>
      <w:r w:rsidRPr="00CC2387">
        <w:rPr>
          <w:rFonts w:ascii="Arial" w:hAnsi="Arial"/>
          <w:sz w:val="20"/>
          <w:lang w:val="en-US"/>
        </w:rPr>
        <w:t xml:space="preserve"> </w:t>
      </w:r>
      <w:r>
        <w:rPr>
          <w:rFonts w:ascii="Arial" w:hAnsi="Arial"/>
          <w:sz w:val="20"/>
          <w:lang w:val="en-US"/>
        </w:rPr>
        <w:t>S</w:t>
      </w:r>
      <w:r w:rsidRPr="00CC2387">
        <w:rPr>
          <w:rFonts w:ascii="Arial" w:hAnsi="Arial"/>
          <w:sz w:val="20"/>
          <w:lang w:val="en-US"/>
        </w:rPr>
        <w:t>3</w:t>
      </w:r>
      <w:r>
        <w:rPr>
          <w:rFonts w:ascii="Arial" w:hAnsi="Arial"/>
          <w:sz w:val="20"/>
          <w:lang w:val="en-US"/>
        </w:rPr>
        <w:t>:</w:t>
      </w:r>
      <w:r w:rsidRPr="00CC2387">
        <w:rPr>
          <w:rFonts w:ascii="Arial" w:hAnsi="Arial"/>
          <w:sz w:val="20"/>
          <w:lang w:val="en-US"/>
        </w:rPr>
        <w:t xml:space="preserve"> Induced squelching at high multiplicity of infection (</w:t>
      </w:r>
      <w:proofErr w:type="spellStart"/>
      <w:r w:rsidRPr="00CC2387">
        <w:rPr>
          <w:rFonts w:ascii="Arial" w:hAnsi="Arial"/>
          <w:sz w:val="20"/>
          <w:lang w:val="en-US"/>
        </w:rPr>
        <w:t>MOI</w:t>
      </w:r>
      <w:proofErr w:type="spellEnd"/>
      <w:r w:rsidRPr="00CC2387">
        <w:rPr>
          <w:rFonts w:ascii="Arial" w:hAnsi="Arial"/>
          <w:sz w:val="20"/>
          <w:lang w:val="en-US"/>
        </w:rPr>
        <w:t>)</w:t>
      </w:r>
      <w:r>
        <w:rPr>
          <w:rFonts w:ascii="Arial" w:hAnsi="Arial"/>
          <w:sz w:val="20"/>
          <w:lang w:val="en-US"/>
        </w:rPr>
        <w:t xml:space="preserve">. </w:t>
      </w:r>
      <w:r w:rsidRPr="00CC2387">
        <w:rPr>
          <w:rFonts w:ascii="Arial" w:hAnsi="Arial"/>
          <w:sz w:val="20"/>
          <w:lang w:val="en-US"/>
        </w:rPr>
        <w:t xml:space="preserve">The increased steady state levels of M2 </w:t>
      </w:r>
      <w:proofErr w:type="spellStart"/>
      <w:r w:rsidRPr="00CC2387">
        <w:rPr>
          <w:rFonts w:ascii="Arial" w:hAnsi="Arial"/>
          <w:sz w:val="20"/>
          <w:lang w:val="en-US"/>
        </w:rPr>
        <w:t>transactivator</w:t>
      </w:r>
      <w:proofErr w:type="spellEnd"/>
      <w:r w:rsidRPr="00CC2387">
        <w:rPr>
          <w:rFonts w:ascii="Arial" w:hAnsi="Arial"/>
          <w:sz w:val="20"/>
          <w:lang w:val="en-US"/>
        </w:rPr>
        <w:t xml:space="preserve"> under inducing conditions (Fig</w:t>
      </w:r>
      <w:r>
        <w:rPr>
          <w:rFonts w:ascii="Arial" w:hAnsi="Arial"/>
          <w:sz w:val="20"/>
          <w:lang w:val="en-US"/>
        </w:rPr>
        <w:t xml:space="preserve">ure </w:t>
      </w:r>
      <w:r w:rsidRPr="00CC2387">
        <w:rPr>
          <w:rFonts w:ascii="Arial" w:hAnsi="Arial"/>
          <w:sz w:val="20"/>
          <w:lang w:val="en-US"/>
        </w:rPr>
        <w:t xml:space="preserve">2C) implied, that especially for the auto-regulatory circuit the </w:t>
      </w:r>
      <w:proofErr w:type="spellStart"/>
      <w:r w:rsidRPr="00CC2387">
        <w:rPr>
          <w:rFonts w:ascii="Arial" w:hAnsi="Arial"/>
          <w:sz w:val="20"/>
          <w:lang w:val="en-US"/>
        </w:rPr>
        <w:t>transactivator</w:t>
      </w:r>
      <w:proofErr w:type="spellEnd"/>
      <w:r w:rsidRPr="00CC2387">
        <w:rPr>
          <w:rFonts w:ascii="Arial" w:hAnsi="Arial"/>
          <w:sz w:val="20"/>
          <w:lang w:val="en-US"/>
        </w:rPr>
        <w:t xml:space="preserve"> might accumulate to levels that were not tolerated by the cells and thus provoke collateral damage by squelching. The most consistent side effect related to squelching is a reduce</w:t>
      </w:r>
      <w:r>
        <w:rPr>
          <w:rFonts w:ascii="Arial" w:hAnsi="Arial"/>
          <w:sz w:val="20"/>
          <w:lang w:val="en-US"/>
        </w:rPr>
        <w:t xml:space="preserve">d growth capacity of the cells </w:t>
      </w:r>
      <w:r w:rsidR="00047AA9">
        <w:rPr>
          <w:rFonts w:ascii="Arial" w:hAnsi="Arial"/>
          <w:sz w:val="20"/>
          <w:lang w:val="en-US"/>
        </w:rPr>
        <w:t>[</w:t>
      </w:r>
      <w:r w:rsidRPr="00047AA9">
        <w:rPr>
          <w:rFonts w:ascii="Arial" w:hAnsi="Arial"/>
          <w:sz w:val="20"/>
          <w:lang w:val="en-US"/>
        </w:rPr>
        <w:t>23</w:t>
      </w:r>
      <w:r w:rsidR="00047AA9">
        <w:rPr>
          <w:rFonts w:ascii="Arial" w:hAnsi="Arial"/>
          <w:sz w:val="20"/>
          <w:lang w:val="en-US"/>
        </w:rPr>
        <w:t>]</w:t>
      </w:r>
      <w:r w:rsidRPr="00CC2387">
        <w:rPr>
          <w:rFonts w:ascii="Arial" w:hAnsi="Arial"/>
          <w:sz w:val="20"/>
          <w:lang w:val="en-US"/>
        </w:rPr>
        <w:t xml:space="preserve"> and at later stages also a reduced overall capacity for gene induction, both most likely resulting from titrating out essential factors for the basal transcriptional machinery </w:t>
      </w:r>
      <w:r>
        <w:rPr>
          <w:rFonts w:ascii="Arial" w:hAnsi="Arial"/>
          <w:sz w:val="20"/>
          <w:vertAlign w:val="superscript"/>
          <w:lang w:val="en-US"/>
        </w:rPr>
        <w:t>44</w:t>
      </w:r>
      <w:r w:rsidRPr="00047AA9">
        <w:rPr>
          <w:rFonts w:ascii="Arial" w:hAnsi="Arial"/>
          <w:sz w:val="20"/>
          <w:lang w:val="en-US"/>
        </w:rPr>
        <w:t xml:space="preserve">; </w:t>
      </w:r>
      <w:r w:rsidR="00047AA9" w:rsidRPr="00047AA9">
        <w:rPr>
          <w:rFonts w:ascii="Arial" w:hAnsi="Arial"/>
          <w:sz w:val="20"/>
          <w:lang w:val="en-US"/>
        </w:rPr>
        <w:t>[</w:t>
      </w:r>
      <w:r w:rsidRPr="00047AA9">
        <w:rPr>
          <w:rFonts w:ascii="Arial" w:hAnsi="Arial"/>
          <w:sz w:val="20"/>
          <w:lang w:val="en-US"/>
        </w:rPr>
        <w:t>48</w:t>
      </w:r>
      <w:r w:rsidR="00047AA9" w:rsidRPr="00047AA9">
        <w:rPr>
          <w:rFonts w:ascii="Arial" w:hAnsi="Arial"/>
          <w:sz w:val="20"/>
          <w:lang w:val="en-US"/>
        </w:rPr>
        <w:t>]</w:t>
      </w:r>
      <w:r w:rsidRPr="00CC2387">
        <w:rPr>
          <w:rFonts w:ascii="Arial" w:hAnsi="Arial"/>
          <w:sz w:val="20"/>
          <w:lang w:val="en-US"/>
        </w:rPr>
        <w:t xml:space="preserve">. In order to </w:t>
      </w:r>
      <w:r w:rsidR="00BB4D05">
        <w:rPr>
          <w:rFonts w:ascii="Arial" w:hAnsi="Arial"/>
          <w:sz w:val="20"/>
          <w:lang w:val="en-US"/>
        </w:rPr>
        <w:t>verify</w:t>
      </w:r>
      <w:r w:rsidRPr="00CC2387">
        <w:rPr>
          <w:rFonts w:ascii="Arial" w:hAnsi="Arial"/>
          <w:sz w:val="20"/>
          <w:lang w:val="en-US"/>
        </w:rPr>
        <w:t xml:space="preserve"> this, we determined the </w:t>
      </w:r>
      <w:proofErr w:type="spellStart"/>
      <w:r w:rsidRPr="00CC2387">
        <w:rPr>
          <w:rFonts w:ascii="Arial" w:hAnsi="Arial"/>
          <w:sz w:val="20"/>
          <w:lang w:val="en-US"/>
        </w:rPr>
        <w:t>luciferase</w:t>
      </w:r>
      <w:proofErr w:type="spellEnd"/>
      <w:r w:rsidRPr="00CC2387">
        <w:rPr>
          <w:rFonts w:ascii="Arial" w:hAnsi="Arial"/>
          <w:sz w:val="20"/>
          <w:lang w:val="en-US"/>
        </w:rPr>
        <w:t xml:space="preserve"> activity as well as growth characteristics of cells transduced at low, </w:t>
      </w:r>
      <w:r>
        <w:rPr>
          <w:rFonts w:ascii="Arial" w:hAnsi="Arial"/>
          <w:sz w:val="20"/>
          <w:lang w:val="en-US"/>
        </w:rPr>
        <w:t>intermediate</w:t>
      </w:r>
      <w:r w:rsidRPr="00CC2387">
        <w:rPr>
          <w:rFonts w:ascii="Arial" w:hAnsi="Arial"/>
          <w:sz w:val="20"/>
          <w:lang w:val="en-US"/>
        </w:rPr>
        <w:t xml:space="preserve"> and high multiplicity of infection (</w:t>
      </w:r>
      <w:proofErr w:type="spellStart"/>
      <w:r w:rsidRPr="00CC2387">
        <w:rPr>
          <w:rFonts w:ascii="Arial" w:hAnsi="Arial"/>
          <w:sz w:val="20"/>
          <w:lang w:val="en-US"/>
        </w:rPr>
        <w:t>MOI</w:t>
      </w:r>
      <w:proofErr w:type="spellEnd"/>
      <w:r w:rsidRPr="00CC2387">
        <w:rPr>
          <w:rFonts w:ascii="Arial" w:hAnsi="Arial"/>
          <w:sz w:val="20"/>
          <w:lang w:val="en-US"/>
        </w:rPr>
        <w:t xml:space="preserve"> 0.1, 1 and 3). It should be noted, that the populations </w:t>
      </w:r>
      <w:r w:rsidR="00BB4D05">
        <w:rPr>
          <w:rFonts w:ascii="Arial" w:hAnsi="Arial"/>
          <w:sz w:val="20"/>
          <w:lang w:val="en-US"/>
        </w:rPr>
        <w:t xml:space="preserve">generated at </w:t>
      </w:r>
      <w:proofErr w:type="spellStart"/>
      <w:r w:rsidR="00BB4D05">
        <w:rPr>
          <w:rFonts w:ascii="Arial" w:hAnsi="Arial"/>
          <w:sz w:val="20"/>
          <w:lang w:val="en-US"/>
        </w:rPr>
        <w:t>MOI</w:t>
      </w:r>
      <w:proofErr w:type="spellEnd"/>
      <w:r w:rsidR="00BB4D05">
        <w:rPr>
          <w:rFonts w:ascii="Arial" w:hAnsi="Arial"/>
          <w:sz w:val="20"/>
          <w:lang w:val="en-US"/>
        </w:rPr>
        <w:t xml:space="preserve"> 0.1 (generating</w:t>
      </w:r>
      <w:r w:rsidRPr="00CC2387">
        <w:rPr>
          <w:rFonts w:ascii="Arial" w:hAnsi="Arial"/>
          <w:sz w:val="20"/>
          <w:lang w:val="en-US"/>
        </w:rPr>
        <w:t xml:space="preserve"> 1-3% positive cells) were enriched by one round of </w:t>
      </w:r>
      <w:proofErr w:type="spellStart"/>
      <w:r w:rsidRPr="00CC2387">
        <w:rPr>
          <w:rFonts w:ascii="Arial" w:hAnsi="Arial"/>
          <w:sz w:val="20"/>
          <w:lang w:val="en-US"/>
        </w:rPr>
        <w:t>FACS</w:t>
      </w:r>
      <w:proofErr w:type="spellEnd"/>
      <w:r w:rsidRPr="00CC2387">
        <w:rPr>
          <w:rFonts w:ascii="Arial" w:hAnsi="Arial"/>
          <w:sz w:val="20"/>
          <w:lang w:val="en-US"/>
        </w:rPr>
        <w:t xml:space="preserve"> sorting, while </w:t>
      </w:r>
      <w:proofErr w:type="spellStart"/>
      <w:r w:rsidRPr="00CC2387">
        <w:rPr>
          <w:rFonts w:ascii="Arial" w:hAnsi="Arial"/>
          <w:sz w:val="20"/>
          <w:lang w:val="en-US"/>
        </w:rPr>
        <w:t>MOI</w:t>
      </w:r>
      <w:proofErr w:type="spellEnd"/>
      <w:r w:rsidRPr="00CC2387">
        <w:rPr>
          <w:rFonts w:ascii="Arial" w:hAnsi="Arial"/>
          <w:sz w:val="20"/>
          <w:lang w:val="en-US"/>
        </w:rPr>
        <w:t xml:space="preserve"> 1 and </w:t>
      </w:r>
      <w:proofErr w:type="spellStart"/>
      <w:r w:rsidRPr="00CC2387">
        <w:rPr>
          <w:rFonts w:ascii="Arial" w:hAnsi="Arial"/>
          <w:sz w:val="20"/>
          <w:lang w:val="en-US"/>
        </w:rPr>
        <w:t>MOI</w:t>
      </w:r>
      <w:proofErr w:type="spellEnd"/>
      <w:r w:rsidRPr="00CC2387">
        <w:rPr>
          <w:rFonts w:ascii="Arial" w:hAnsi="Arial"/>
          <w:sz w:val="20"/>
          <w:lang w:val="en-US"/>
        </w:rPr>
        <w:t xml:space="preserve"> 3 populations were measured without any enrichment. The results of the experiments (after 4 days of induction</w:t>
      </w:r>
      <w:r w:rsidR="00412B9B">
        <w:rPr>
          <w:rFonts w:ascii="Arial" w:hAnsi="Arial"/>
          <w:sz w:val="20"/>
          <w:lang w:val="en-US"/>
        </w:rPr>
        <w:t xml:space="preserve"> with 1000ng </w:t>
      </w:r>
      <w:proofErr w:type="spellStart"/>
      <w:r w:rsidR="00412B9B">
        <w:rPr>
          <w:rFonts w:ascii="Arial" w:hAnsi="Arial"/>
          <w:sz w:val="20"/>
          <w:lang w:val="en-US"/>
        </w:rPr>
        <w:t>Dox</w:t>
      </w:r>
      <w:proofErr w:type="spellEnd"/>
      <w:r w:rsidR="00412B9B">
        <w:rPr>
          <w:rFonts w:ascii="Arial" w:hAnsi="Arial"/>
          <w:sz w:val="20"/>
          <w:lang w:val="en-US"/>
        </w:rPr>
        <w:t>/ml</w:t>
      </w:r>
      <w:r w:rsidRPr="00CC2387">
        <w:rPr>
          <w:rFonts w:ascii="Arial" w:hAnsi="Arial"/>
          <w:sz w:val="20"/>
          <w:lang w:val="en-US"/>
        </w:rPr>
        <w:t xml:space="preserve">) indicated that the </w:t>
      </w:r>
      <w:proofErr w:type="spellStart"/>
      <w:r w:rsidRPr="00CC2387">
        <w:rPr>
          <w:rFonts w:ascii="Arial" w:hAnsi="Arial"/>
          <w:sz w:val="20"/>
          <w:lang w:val="en-US"/>
        </w:rPr>
        <w:t>luciferase</w:t>
      </w:r>
      <w:proofErr w:type="spellEnd"/>
      <w:r w:rsidRPr="00CC2387">
        <w:rPr>
          <w:rFonts w:ascii="Arial" w:hAnsi="Arial"/>
          <w:sz w:val="20"/>
          <w:lang w:val="en-US"/>
        </w:rPr>
        <w:t xml:space="preserve"> activity in the on- and the off-state correlated with the </w:t>
      </w:r>
      <w:proofErr w:type="spellStart"/>
      <w:r w:rsidRPr="00CC2387">
        <w:rPr>
          <w:rFonts w:ascii="Arial" w:hAnsi="Arial"/>
          <w:sz w:val="20"/>
          <w:lang w:val="en-US"/>
        </w:rPr>
        <w:t>MOI</w:t>
      </w:r>
      <w:proofErr w:type="spellEnd"/>
      <w:r w:rsidRPr="00CC2387">
        <w:rPr>
          <w:rFonts w:ascii="Arial" w:hAnsi="Arial"/>
          <w:sz w:val="20"/>
          <w:lang w:val="en-US"/>
        </w:rPr>
        <w:t xml:space="preserve"> in the transduced populations, although much less positive cells contributed to the </w:t>
      </w:r>
      <w:proofErr w:type="spellStart"/>
      <w:r w:rsidRPr="00CC2387">
        <w:rPr>
          <w:rFonts w:ascii="Arial" w:hAnsi="Arial"/>
          <w:sz w:val="20"/>
          <w:lang w:val="en-US"/>
        </w:rPr>
        <w:t>luciferase</w:t>
      </w:r>
      <w:proofErr w:type="spellEnd"/>
      <w:r w:rsidRPr="00CC2387">
        <w:rPr>
          <w:rFonts w:ascii="Arial" w:hAnsi="Arial"/>
          <w:sz w:val="20"/>
          <w:lang w:val="en-US"/>
        </w:rPr>
        <w:t xml:space="preserve"> activity, as was determined in </w:t>
      </w:r>
      <w:proofErr w:type="spellStart"/>
      <w:r w:rsidRPr="00CC2387">
        <w:rPr>
          <w:rFonts w:ascii="Arial" w:hAnsi="Arial"/>
          <w:sz w:val="20"/>
          <w:lang w:val="en-US"/>
        </w:rPr>
        <w:t>FACS</w:t>
      </w:r>
      <w:proofErr w:type="spellEnd"/>
      <w:r w:rsidRPr="00CC2387">
        <w:rPr>
          <w:rFonts w:ascii="Arial" w:hAnsi="Arial"/>
          <w:sz w:val="20"/>
          <w:lang w:val="en-US"/>
        </w:rPr>
        <w:t>. Thus, increased gene transfer was established for both vectors resulting in a decreased dynami</w:t>
      </w:r>
      <w:r>
        <w:rPr>
          <w:rFonts w:ascii="Arial" w:hAnsi="Arial"/>
          <w:sz w:val="20"/>
          <w:lang w:val="en-US"/>
        </w:rPr>
        <w:t>c range of gene regulation (~</w:t>
      </w:r>
      <w:r w:rsidRPr="00CC2387">
        <w:rPr>
          <w:rFonts w:ascii="Arial" w:hAnsi="Arial"/>
          <w:sz w:val="20"/>
          <w:lang w:val="en-US"/>
        </w:rPr>
        <w:t>10</w:t>
      </w:r>
      <w:r w:rsidR="00BF7307">
        <w:rPr>
          <w:rFonts w:ascii="Arial" w:hAnsi="Arial"/>
          <w:sz w:val="20"/>
          <w:lang w:val="en-US"/>
        </w:rPr>
        <w:t>00</w:t>
      </w:r>
      <w:r w:rsidR="00412B9B">
        <w:rPr>
          <w:rFonts w:ascii="Arial" w:hAnsi="Arial"/>
          <w:sz w:val="20"/>
          <w:lang w:val="en-US"/>
        </w:rPr>
        <w:t xml:space="preserve">-fold induction) </w:t>
      </w:r>
      <w:r w:rsidRPr="00CC2387">
        <w:rPr>
          <w:rFonts w:ascii="Arial" w:hAnsi="Arial"/>
          <w:sz w:val="20"/>
          <w:lang w:val="en-US"/>
        </w:rPr>
        <w:t xml:space="preserve">at </w:t>
      </w:r>
      <w:proofErr w:type="spellStart"/>
      <w:r w:rsidRPr="00CC2387">
        <w:rPr>
          <w:rFonts w:ascii="Arial" w:hAnsi="Arial"/>
          <w:sz w:val="20"/>
          <w:lang w:val="en-US"/>
        </w:rPr>
        <w:t>MOI</w:t>
      </w:r>
      <w:proofErr w:type="spellEnd"/>
      <w:r w:rsidRPr="00CC2387">
        <w:rPr>
          <w:rFonts w:ascii="Arial" w:hAnsi="Arial"/>
          <w:sz w:val="20"/>
          <w:lang w:val="en-US"/>
        </w:rPr>
        <w:t xml:space="preserve"> 3. </w:t>
      </w:r>
    </w:p>
    <w:p w:rsidR="00400178" w:rsidRDefault="00400178" w:rsidP="00400178">
      <w:pPr>
        <w:spacing w:line="360" w:lineRule="auto"/>
        <w:rPr>
          <w:rFonts w:ascii="Arial" w:hAnsi="Arial"/>
          <w:sz w:val="20"/>
          <w:lang w:val="en-US"/>
        </w:rPr>
      </w:pPr>
      <w:r w:rsidRPr="00CC2387">
        <w:rPr>
          <w:rFonts w:ascii="Arial" w:hAnsi="Arial"/>
          <w:sz w:val="20"/>
          <w:lang w:val="en-US"/>
        </w:rPr>
        <w:t xml:space="preserve">The populations established with the self-contained MOV-scT6 vector displayed only a moderate decrease of cell growth, while growth of the populations established </w:t>
      </w:r>
      <w:r w:rsidR="0005512D">
        <w:rPr>
          <w:rFonts w:ascii="Arial" w:hAnsi="Arial"/>
          <w:sz w:val="20"/>
          <w:lang w:val="en-US"/>
        </w:rPr>
        <w:t>with auto-regulated MOV-scT6cA wa</w:t>
      </w:r>
      <w:r w:rsidRPr="00CC2387">
        <w:rPr>
          <w:rFonts w:ascii="Arial" w:hAnsi="Arial"/>
          <w:sz w:val="20"/>
          <w:lang w:val="en-US"/>
        </w:rPr>
        <w:t>s strongly affected upon induction of gene expression. While growth of populations containing mostly a single copy integrate of the vector (</w:t>
      </w:r>
      <w:proofErr w:type="spellStart"/>
      <w:r w:rsidRPr="00CC2387">
        <w:rPr>
          <w:rFonts w:ascii="Arial" w:hAnsi="Arial"/>
          <w:sz w:val="20"/>
          <w:lang w:val="en-US"/>
        </w:rPr>
        <w:t>MOI</w:t>
      </w:r>
      <w:proofErr w:type="spellEnd"/>
      <w:r w:rsidRPr="00CC2387">
        <w:rPr>
          <w:rFonts w:ascii="Arial" w:hAnsi="Arial"/>
          <w:sz w:val="20"/>
          <w:lang w:val="en-US"/>
        </w:rPr>
        <w:t xml:space="preserve"> ≤0.1) </w:t>
      </w:r>
      <w:r w:rsidR="0005512D">
        <w:rPr>
          <w:rFonts w:ascii="Arial" w:hAnsi="Arial"/>
          <w:sz w:val="20"/>
          <w:lang w:val="en-US"/>
        </w:rPr>
        <w:t>was not decreased</w:t>
      </w:r>
      <w:r w:rsidRPr="00CC2387">
        <w:rPr>
          <w:rFonts w:ascii="Arial" w:hAnsi="Arial"/>
          <w:sz w:val="20"/>
          <w:lang w:val="en-US"/>
        </w:rPr>
        <w:t xml:space="preserve">, an increased gene dosage lead to strong growth retardation after induction. Proposing that a higher gene dosage will lead to increased concentration of </w:t>
      </w:r>
      <w:proofErr w:type="spellStart"/>
      <w:r w:rsidRPr="00CC2387">
        <w:rPr>
          <w:rFonts w:ascii="Arial" w:hAnsi="Arial"/>
          <w:sz w:val="20"/>
          <w:lang w:val="en-US"/>
        </w:rPr>
        <w:t>transactivator</w:t>
      </w:r>
      <w:proofErr w:type="spellEnd"/>
      <w:r w:rsidRPr="00CC2387">
        <w:rPr>
          <w:rFonts w:ascii="Arial" w:hAnsi="Arial"/>
          <w:sz w:val="20"/>
          <w:lang w:val="en-US"/>
        </w:rPr>
        <w:t xml:space="preserve">, this indeed may be a direct effect of squelching. The observation (not shown) that a prolonged induction was able to recover growth capacity by further reducing the proportion of positive cells in those populations supported this assumption as the residual, transgene negative cells started to overgrow the </w:t>
      </w:r>
      <w:r w:rsidR="0005512D">
        <w:rPr>
          <w:rFonts w:ascii="Arial" w:hAnsi="Arial"/>
          <w:sz w:val="20"/>
          <w:lang w:val="en-US"/>
        </w:rPr>
        <w:t xml:space="preserve">transgene </w:t>
      </w:r>
      <w:bookmarkStart w:id="0" w:name="_GoBack"/>
      <w:bookmarkEnd w:id="0"/>
      <w:r w:rsidRPr="00CC2387">
        <w:rPr>
          <w:rFonts w:ascii="Arial" w:hAnsi="Arial"/>
          <w:sz w:val="20"/>
          <w:lang w:val="en-US"/>
        </w:rPr>
        <w:t>positive cells.</w:t>
      </w:r>
    </w:p>
    <w:p w:rsidR="00400178" w:rsidRDefault="00400178" w:rsidP="00400178">
      <w:pPr>
        <w:rPr>
          <w:rFonts w:ascii="Arial" w:hAnsi="Arial"/>
          <w:sz w:val="20"/>
          <w:lang w:val="en-US"/>
        </w:rPr>
      </w:pPr>
    </w:p>
    <w:p w:rsidR="005B6E2B" w:rsidRDefault="005B6E2B"/>
    <w:sectPr w:rsidR="005B6E2B" w:rsidSect="00AE1605">
      <w:headerReference w:type="default" r:id="rId8"/>
      <w:pgSz w:w="11906" w:h="16838"/>
      <w:pgMar w:top="1417" w:right="1417" w:bottom="1134" w:left="1417" w:header="709" w:footer="709"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4D05" w:rsidRDefault="00BB4D05">
      <w:r>
        <w:separator/>
      </w:r>
    </w:p>
  </w:endnote>
  <w:endnote w:type="continuationSeparator" w:id="0">
    <w:p w:rsidR="00BB4D05" w:rsidRDefault="00BB4D05">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ＭＳ 明朝">
    <w:altName w:val="MS Mincho"/>
    <w:charset w:val="4E"/>
    <w:family w:val="auto"/>
    <w:pitch w:val="variable"/>
    <w:sig w:usb0="00000000" w:usb1="6AC7FDFB"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ＭＳ ゴシック">
    <w:altName w:val="MS Mincho"/>
    <w:charset w:val="4E"/>
    <w:family w:val="auto"/>
    <w:pitch w:val="variable"/>
    <w:sig w:usb0="00000000"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Lucida Grande">
    <w:altName w:val="Arial"/>
    <w:charset w:val="00"/>
    <w:family w:val="auto"/>
    <w:pitch w:val="variable"/>
    <w:sig w:usb0="E1000AEF" w:usb1="5000A1FF" w:usb2="00000000"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4D05" w:rsidRDefault="00BB4D05">
      <w:r>
        <w:separator/>
      </w:r>
    </w:p>
  </w:footnote>
  <w:footnote w:type="continuationSeparator" w:id="0">
    <w:p w:rsidR="00BB4D05" w:rsidRDefault="00BB4D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05" w:rsidRDefault="00BB4D05">
    <w:pPr>
      <w:pStyle w:val="Header"/>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C55A8F"/>
    <w:multiLevelType w:val="multilevel"/>
    <w:tmpl w:val="F672FBE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0"/>
  </w:num>
  <w:num w:numId="2">
    <w:abstractNumId w:val="0"/>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
  <w:rsids>
    <w:rsidRoot w:val="00400178"/>
    <w:rsid w:val="00047AA9"/>
    <w:rsid w:val="0005512D"/>
    <w:rsid w:val="00143942"/>
    <w:rsid w:val="00153880"/>
    <w:rsid w:val="002A0B3E"/>
    <w:rsid w:val="002C5F73"/>
    <w:rsid w:val="003974A4"/>
    <w:rsid w:val="00400178"/>
    <w:rsid w:val="00412B9B"/>
    <w:rsid w:val="00433F55"/>
    <w:rsid w:val="00457C3A"/>
    <w:rsid w:val="004F0477"/>
    <w:rsid w:val="00575D28"/>
    <w:rsid w:val="005A60EB"/>
    <w:rsid w:val="005B6E2B"/>
    <w:rsid w:val="00744ED3"/>
    <w:rsid w:val="007713A9"/>
    <w:rsid w:val="007C219E"/>
    <w:rsid w:val="00881FE4"/>
    <w:rsid w:val="008A4975"/>
    <w:rsid w:val="00923D02"/>
    <w:rsid w:val="00AE1605"/>
    <w:rsid w:val="00AE70F7"/>
    <w:rsid w:val="00BB144D"/>
    <w:rsid w:val="00BB4D05"/>
    <w:rsid w:val="00BF7307"/>
    <w:rsid w:val="00DB59E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178"/>
    <w:rPr>
      <w:rFonts w:ascii="Times New Roman" w:eastAsia="Times New Roman" w:hAnsi="Times New Roman" w:cs="Times New Roman"/>
      <w:szCs w:val="20"/>
      <w:lang w:eastAsia="de-DE"/>
    </w:rPr>
  </w:style>
  <w:style w:type="paragraph" w:styleId="Heading4">
    <w:name w:val="heading 4"/>
    <w:basedOn w:val="Normal"/>
    <w:next w:val="Normal"/>
    <w:link w:val="Heading4Char"/>
    <w:uiPriority w:val="9"/>
    <w:semiHidden/>
    <w:unhideWhenUsed/>
    <w:qFormat/>
    <w:rsid w:val="005A60EB"/>
    <w:pPr>
      <w:keepNext/>
      <w:keepLines/>
      <w:numPr>
        <w:ilvl w:val="3"/>
        <w:numId w:val="3"/>
      </w:numPr>
      <w:spacing w:before="200"/>
      <w:outlineLvl w:val="3"/>
    </w:pPr>
    <w:rPr>
      <w:rFonts w:asciiTheme="majorHAnsi" w:eastAsiaTheme="majorEastAsia" w:hAnsiTheme="majorHAnsi" w:cstheme="majorBidi"/>
      <w:b/>
      <w:bCs/>
      <w:i/>
      <w:iCs/>
      <w:color w:val="4F81BD" w:themeColor="accent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tvorlage3">
    <w:name w:val="Formatvorlage3"/>
    <w:basedOn w:val="Heading4"/>
    <w:autoRedefine/>
    <w:qFormat/>
    <w:rsid w:val="007713A9"/>
    <w:pPr>
      <w:keepLines w:val="0"/>
      <w:spacing w:before="240"/>
      <w:jc w:val="both"/>
    </w:pPr>
    <w:rPr>
      <w:rFonts w:ascii="Arial" w:eastAsia="Times New Roman" w:hAnsi="Arial" w:cs="Times New Roman"/>
      <w:bCs w:val="0"/>
      <w:i w:val="0"/>
      <w:iCs w:val="0"/>
      <w:color w:val="auto"/>
      <w:sz w:val="22"/>
      <w:szCs w:val="20"/>
      <w:lang w:eastAsia="de-DE"/>
    </w:rPr>
  </w:style>
  <w:style w:type="character" w:customStyle="1" w:styleId="Heading4Char">
    <w:name w:val="Heading 4 Char"/>
    <w:basedOn w:val="DefaultParagraphFont"/>
    <w:link w:val="Heading4"/>
    <w:uiPriority w:val="9"/>
    <w:semiHidden/>
    <w:rsid w:val="007713A9"/>
    <w:rPr>
      <w:rFonts w:asciiTheme="majorHAnsi" w:eastAsiaTheme="majorEastAsia" w:hAnsiTheme="majorHAnsi" w:cstheme="majorBidi"/>
      <w:b/>
      <w:bCs/>
      <w:i/>
      <w:iCs/>
      <w:color w:val="4F81BD" w:themeColor="accent1"/>
    </w:rPr>
  </w:style>
  <w:style w:type="paragraph" w:customStyle="1" w:styleId="Formatvorlage1">
    <w:name w:val="Formatvorlage1"/>
    <w:basedOn w:val="Heading4"/>
    <w:qFormat/>
    <w:rsid w:val="00143942"/>
    <w:pPr>
      <w:numPr>
        <w:ilvl w:val="0"/>
        <w:numId w:val="0"/>
      </w:numPr>
    </w:pPr>
    <w:rPr>
      <w:rFonts w:ascii="Times New Roman" w:hAnsi="Times New Roman"/>
      <w:color w:val="auto"/>
    </w:rPr>
  </w:style>
  <w:style w:type="paragraph" w:customStyle="1" w:styleId="Formatvorlage6">
    <w:name w:val="Formatvorlage6"/>
    <w:basedOn w:val="Heading4"/>
    <w:qFormat/>
    <w:rsid w:val="005A60EB"/>
    <w:pPr>
      <w:numPr>
        <w:ilvl w:val="0"/>
        <w:numId w:val="0"/>
      </w:numPr>
    </w:pPr>
    <w:rPr>
      <w:rFonts w:ascii="Arial" w:hAnsi="Arial"/>
      <w:i w:val="0"/>
      <w:color w:val="auto"/>
    </w:rPr>
  </w:style>
  <w:style w:type="paragraph" w:styleId="Header">
    <w:name w:val="header"/>
    <w:basedOn w:val="Normal"/>
    <w:link w:val="HeaderChar"/>
    <w:rsid w:val="00400178"/>
    <w:pPr>
      <w:tabs>
        <w:tab w:val="center" w:pos="4536"/>
        <w:tab w:val="right" w:pos="9072"/>
      </w:tabs>
    </w:pPr>
  </w:style>
  <w:style w:type="character" w:customStyle="1" w:styleId="HeaderChar">
    <w:name w:val="Header Char"/>
    <w:basedOn w:val="DefaultParagraphFont"/>
    <w:link w:val="Header"/>
    <w:rsid w:val="00400178"/>
    <w:rPr>
      <w:rFonts w:ascii="Times New Roman" w:eastAsia="Times New Roman" w:hAnsi="Times New Roman" w:cs="Times New Roman"/>
      <w:szCs w:val="20"/>
      <w:lang w:eastAsia="de-DE"/>
    </w:rPr>
  </w:style>
  <w:style w:type="paragraph" w:styleId="BalloonText">
    <w:name w:val="Balloon Text"/>
    <w:basedOn w:val="Normal"/>
    <w:link w:val="BalloonTextChar"/>
    <w:uiPriority w:val="99"/>
    <w:semiHidden/>
    <w:unhideWhenUsed/>
    <w:rsid w:val="00400178"/>
    <w:rPr>
      <w:rFonts w:ascii="Lucida Grande" w:hAnsi="Lucida Grande"/>
      <w:sz w:val="18"/>
      <w:szCs w:val="18"/>
    </w:rPr>
  </w:style>
  <w:style w:type="character" w:customStyle="1" w:styleId="BalloonTextChar">
    <w:name w:val="Balloon Text Char"/>
    <w:basedOn w:val="DefaultParagraphFont"/>
    <w:link w:val="BalloonText"/>
    <w:uiPriority w:val="99"/>
    <w:semiHidden/>
    <w:rsid w:val="00400178"/>
    <w:rPr>
      <w:rFonts w:ascii="Lucida Grande" w:eastAsia="Times New Roman" w:hAnsi="Lucida Grande" w:cs="Times New Roman"/>
      <w:sz w:val="18"/>
      <w:szCs w:val="18"/>
      <w:lang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00178"/>
    <w:rPr>
      <w:rFonts w:ascii="Times New Roman" w:eastAsia="Times New Roman" w:hAnsi="Times New Roman" w:cs="Times New Roman"/>
      <w:szCs w:val="20"/>
      <w:lang w:eastAsia="de-DE"/>
    </w:rPr>
  </w:style>
  <w:style w:type="paragraph" w:styleId="berschrift4">
    <w:name w:val="heading 4"/>
    <w:basedOn w:val="Standard"/>
    <w:next w:val="Standard"/>
    <w:link w:val="berschrift4Zeichen"/>
    <w:uiPriority w:val="9"/>
    <w:semiHidden/>
    <w:unhideWhenUsed/>
    <w:qFormat/>
    <w:rsid w:val="005A60EB"/>
    <w:pPr>
      <w:keepNext/>
      <w:keepLines/>
      <w:numPr>
        <w:ilvl w:val="3"/>
        <w:numId w:val="3"/>
      </w:numPr>
      <w:spacing w:before="200"/>
      <w:outlineLvl w:val="3"/>
    </w:pPr>
    <w:rPr>
      <w:rFonts w:asciiTheme="majorHAnsi" w:eastAsiaTheme="majorEastAsia" w:hAnsiTheme="majorHAnsi" w:cstheme="majorBidi"/>
      <w:b/>
      <w:bCs/>
      <w:i/>
      <w:iCs/>
      <w:color w:val="4F81BD" w:themeColor="accent1"/>
      <w:szCs w:val="24"/>
      <w:lang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3">
    <w:name w:val="Formatvorlage3"/>
    <w:basedOn w:val="berschrift4"/>
    <w:autoRedefine/>
    <w:qFormat/>
    <w:rsid w:val="007713A9"/>
    <w:pPr>
      <w:keepLines w:val="0"/>
      <w:spacing w:before="240"/>
      <w:jc w:val="both"/>
    </w:pPr>
    <w:rPr>
      <w:rFonts w:ascii="Arial" w:eastAsia="Times New Roman" w:hAnsi="Arial" w:cs="Times New Roman"/>
      <w:bCs w:val="0"/>
      <w:i w:val="0"/>
      <w:iCs w:val="0"/>
      <w:color w:val="auto"/>
      <w:sz w:val="22"/>
      <w:szCs w:val="20"/>
      <w:lang w:eastAsia="de-DE"/>
    </w:rPr>
  </w:style>
  <w:style w:type="character" w:customStyle="1" w:styleId="berschrift4Zeichen">
    <w:name w:val="Überschrift 4 Zeichen"/>
    <w:basedOn w:val="Absatzstandardschriftart"/>
    <w:link w:val="berschrift4"/>
    <w:uiPriority w:val="9"/>
    <w:semiHidden/>
    <w:rsid w:val="007713A9"/>
    <w:rPr>
      <w:rFonts w:asciiTheme="majorHAnsi" w:eastAsiaTheme="majorEastAsia" w:hAnsiTheme="majorHAnsi" w:cstheme="majorBidi"/>
      <w:b/>
      <w:bCs/>
      <w:i/>
      <w:iCs/>
      <w:color w:val="4F81BD" w:themeColor="accent1"/>
    </w:rPr>
  </w:style>
  <w:style w:type="paragraph" w:customStyle="1" w:styleId="Formatvorlage1">
    <w:name w:val="Formatvorlage1"/>
    <w:basedOn w:val="berschrift4"/>
    <w:qFormat/>
    <w:rsid w:val="00143942"/>
    <w:pPr>
      <w:numPr>
        <w:ilvl w:val="0"/>
        <w:numId w:val="0"/>
      </w:numPr>
    </w:pPr>
    <w:rPr>
      <w:rFonts w:ascii="Times New Roman" w:hAnsi="Times New Roman"/>
      <w:color w:val="auto"/>
    </w:rPr>
  </w:style>
  <w:style w:type="paragraph" w:customStyle="1" w:styleId="Formatvorlage6">
    <w:name w:val="Formatvorlage6"/>
    <w:basedOn w:val="berschrift4"/>
    <w:qFormat/>
    <w:rsid w:val="005A60EB"/>
    <w:pPr>
      <w:numPr>
        <w:ilvl w:val="0"/>
        <w:numId w:val="0"/>
      </w:numPr>
    </w:pPr>
    <w:rPr>
      <w:rFonts w:ascii="Arial" w:hAnsi="Arial"/>
      <w:i w:val="0"/>
      <w:color w:val="auto"/>
    </w:rPr>
  </w:style>
  <w:style w:type="paragraph" w:styleId="Kopfzeile">
    <w:name w:val="header"/>
    <w:basedOn w:val="Standard"/>
    <w:link w:val="KopfzeileZeichen"/>
    <w:rsid w:val="00400178"/>
    <w:pPr>
      <w:tabs>
        <w:tab w:val="center" w:pos="4536"/>
        <w:tab w:val="right" w:pos="9072"/>
      </w:tabs>
    </w:pPr>
  </w:style>
  <w:style w:type="character" w:customStyle="1" w:styleId="KopfzeileZeichen">
    <w:name w:val="Kopfzeile Zeichen"/>
    <w:basedOn w:val="Absatzstandardschriftart"/>
    <w:link w:val="Kopfzeile"/>
    <w:rsid w:val="00400178"/>
    <w:rPr>
      <w:rFonts w:ascii="Times New Roman" w:eastAsia="Times New Roman" w:hAnsi="Times New Roman" w:cs="Times New Roman"/>
      <w:szCs w:val="20"/>
      <w:lang w:eastAsia="de-DE"/>
    </w:rPr>
  </w:style>
  <w:style w:type="paragraph" w:styleId="Sprechblasentext">
    <w:name w:val="Balloon Text"/>
    <w:basedOn w:val="Standard"/>
    <w:link w:val="SprechblasentextZeichen"/>
    <w:uiPriority w:val="99"/>
    <w:semiHidden/>
    <w:unhideWhenUsed/>
    <w:rsid w:val="00400178"/>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400178"/>
    <w:rPr>
      <w:rFonts w:ascii="Lucida Grande" w:eastAsia="Times New Roman" w:hAnsi="Lucida Grande" w:cs="Times New Roman"/>
      <w:sz w:val="18"/>
      <w:szCs w:val="18"/>
      <w:lang w:eastAsia="de-D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2033</Characters>
  <Application>Microsoft Office Word</Application>
  <DocSecurity>0</DocSecurity>
  <Lines>16</Lines>
  <Paragraphs>4</Paragraphs>
  <ScaleCrop>false</ScaleCrop>
  <Company>EUFETS GmbH</Company>
  <LinksUpToDate>false</LinksUpToDate>
  <CharactersWithSpaces>2385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Rainer Löw</dc:creator>
  <cp:keywords/>
  <dc:description/>
  <cp:lastModifiedBy>manoche</cp:lastModifiedBy>
  <cp:revision>4</cp:revision>
  <dcterms:created xsi:type="dcterms:W3CDTF">2013-01-04T11:59:00Z</dcterms:created>
  <dcterms:modified xsi:type="dcterms:W3CDTF">2013-01-21T15:36:00Z</dcterms:modified>
</cp:coreProperties>
</file>