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58" w:rsidRDefault="00A86458" w:rsidP="00E63776">
      <w:r w:rsidRPr="00A86458">
        <w:rPr>
          <w:noProof/>
        </w:rPr>
        <w:drawing>
          <wp:inline distT="0" distB="0" distL="0" distR="0">
            <wp:extent cx="6143625" cy="36766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86458" w:rsidRDefault="00A86458">
      <w:r w:rsidRPr="00A86458">
        <w:rPr>
          <w:noProof/>
        </w:rPr>
        <w:drawing>
          <wp:inline distT="0" distB="0" distL="0" distR="0">
            <wp:extent cx="6019800" cy="311467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63776" w:rsidRDefault="007A1ED3" w:rsidP="00E63776">
      <w:p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7A1ED3">
        <w:rPr>
          <w:rFonts w:ascii="Times New Roman" w:hAnsi="Times New Roman" w:cs="Times New Roman"/>
          <w:b/>
          <w:sz w:val="24"/>
          <w:szCs w:val="24"/>
        </w:rPr>
        <w:t>Supplementary Figure 1.</w:t>
      </w:r>
      <w:proofErr w:type="gramEnd"/>
      <w:r w:rsidRPr="007A1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ED3">
        <w:rPr>
          <w:rFonts w:ascii="Times New Roman" w:hAnsi="Times New Roman" w:cs="Times New Roman"/>
          <w:sz w:val="24"/>
          <w:szCs w:val="24"/>
        </w:rPr>
        <w:t xml:space="preserve">(a) </w:t>
      </w:r>
      <w:r w:rsidR="00887675" w:rsidRPr="007A1ED3">
        <w:rPr>
          <w:rFonts w:ascii="Times New Roman" w:hAnsi="Times New Roman" w:cs="Times New Roman"/>
          <w:sz w:val="24"/>
          <w:szCs w:val="24"/>
        </w:rPr>
        <w:t>Time</w:t>
      </w:r>
      <w:r w:rsidRPr="007A1ED3">
        <w:rPr>
          <w:rFonts w:ascii="Times New Roman" w:hAnsi="Times New Roman" w:cs="Times New Roman"/>
          <w:sz w:val="24"/>
          <w:szCs w:val="24"/>
        </w:rPr>
        <w:t xml:space="preserve"> profiles of lactate (triangle), acetate (strike), butyrate (circle) and ethanol (rhombus)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7A1ED3">
        <w:rPr>
          <w:rFonts w:ascii="Times New Roman" w:hAnsi="Times New Roman" w:cs="Times New Roman"/>
          <w:sz w:val="24"/>
          <w:szCs w:val="24"/>
        </w:rPr>
        <w:t xml:space="preserve"> (b) time profiles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pyruvate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(triangle) and butanol (rhombus) </w:t>
      </w:r>
      <w:r w:rsidRPr="007A1ED3">
        <w:rPr>
          <w:rFonts w:ascii="Times New Roman" w:hAnsi="Times New Roman" w:cs="Times New Roman"/>
          <w:sz w:val="24"/>
          <w:szCs w:val="24"/>
        </w:rPr>
        <w:t>in the co-culture experiment set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2218">
        <w:rPr>
          <w:rFonts w:ascii="Times New Roman" w:hAnsi="Times New Roman" w:cs="Times New Roman"/>
          <w:sz w:val="24"/>
          <w:szCs w:val="24"/>
        </w:rPr>
        <w:t xml:space="preserve"> </w:t>
      </w:r>
      <w:r w:rsidR="00E63776" w:rsidRPr="0034281B">
        <w:rPr>
          <w:rFonts w:ascii="Times New Roman" w:hAnsi="Times New Roman" w:cs="Times New Roman"/>
          <w:sz w:val="24"/>
          <w:szCs w:val="24"/>
        </w:rPr>
        <w:t>Pyruvate uptake and butanol formation were observed in the co-cultures.</w:t>
      </w:r>
    </w:p>
    <w:p w:rsidR="00934C06" w:rsidRDefault="00934C06" w:rsidP="00E6377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34C06" w:rsidRPr="001C2C55" w:rsidRDefault="00934C06" w:rsidP="000927BE">
      <w:pPr>
        <w:pStyle w:val="Heading2"/>
        <w:rPr>
          <w:rFonts w:ascii="Times New Roman" w:hAnsi="Times New Roman" w:cs="Times New Roman"/>
          <w:color w:val="auto"/>
          <w:highlight w:val="yellow"/>
        </w:rPr>
      </w:pPr>
      <w:r w:rsidRPr="001C2C55">
        <w:rPr>
          <w:rFonts w:ascii="Times New Roman" w:hAnsi="Times New Roman" w:cs="Times New Roman"/>
          <w:color w:val="auto"/>
          <w:highlight w:val="yellow"/>
        </w:rPr>
        <w:t xml:space="preserve">Experimental Characterization of </w:t>
      </w:r>
      <w:r w:rsidRPr="001C2C55">
        <w:rPr>
          <w:rFonts w:ascii="Times New Roman" w:hAnsi="Times New Roman" w:cs="Times New Roman"/>
          <w:i/>
          <w:color w:val="auto"/>
          <w:highlight w:val="yellow"/>
        </w:rPr>
        <w:t>C. acetobutylicum</w:t>
      </w:r>
      <w:r w:rsidRPr="001C2C55">
        <w:rPr>
          <w:rFonts w:ascii="Times New Roman" w:hAnsi="Times New Roman" w:cs="Times New Roman"/>
          <w:color w:val="auto"/>
          <w:highlight w:val="yellow"/>
        </w:rPr>
        <w:t xml:space="preserve"> Metabolic Activity under Co-culture Conditions</w:t>
      </w:r>
    </w:p>
    <w:p w:rsidR="00934C06" w:rsidRPr="001C2C55" w:rsidRDefault="00934C06" w:rsidP="00934C06">
      <w:pPr>
        <w:spacing w:line="480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To further investigate the metabolic behavior and the role of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in the clostridial co-culture, mono-culture control batches of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were conducted under the co-culture conditions. The results of these experiments are presented in </w:t>
      </w:r>
      <w:r w:rsidR="00FD6DAA">
        <w:rPr>
          <w:rFonts w:ascii="Times New Roman" w:hAnsi="Times New Roman" w:cs="Times New Roman"/>
          <w:sz w:val="24"/>
          <w:szCs w:val="24"/>
          <w:highlight w:val="yellow"/>
        </w:rPr>
        <w:t xml:space="preserve">below 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Figs. </w:t>
      </w:r>
      <w:r w:rsidR="001C2C55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a and b. In the first mono-culture batch (Fig. </w:t>
      </w:r>
      <w:r w:rsidR="001C2C55" w:rsidRPr="001C2C55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a),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C. acetobutylicum 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was cultivated on the co-culture medium with 20 g/L cellulose and no glucose added to the culture.  The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qPCR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data as well as cell quantification using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hemacytometry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showed a significant reduction in the cell population over the course of batch due to the lack of glucose and cell starvation. </w:t>
      </w:r>
    </w:p>
    <w:p w:rsidR="00934C06" w:rsidRDefault="00934C06" w:rsidP="00934C06">
      <w:pPr>
        <w:spacing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In the second mono-culture batch (Fig. </w:t>
      </w:r>
      <w:r w:rsidR="001C2C55" w:rsidRPr="001C2C55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b), after 12 days of cultivation and cell starvation in the absence of glucose, 1 g/L of glucose was added to the culture and as a result a drastic increase in the biomass concentration was observed in the culture followed by a decline due to cell starvation after consuming the entire added glucose in 24 hrs. Furthermore, to assess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growth and metabolism on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, 1 g/L of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was added to the culture on day 19</w:t>
      </w:r>
      <w:r w:rsidRPr="001C2C55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th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, while the cells had been starving for previous 6 days, and a 10-fold increase in the biomass concentration was observed, confirming metabolism of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by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. However,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was not consumed entirely (HPLC data showed that only about 0.1 g/L of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had been consumed), and the main fermentation products were acetate and butyrate. Higher biomass concentration obtained from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qPCR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method can be attributed to the spore formation in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cultures, as both viable and non-viable spores in addition to dead cells are quantified using q-PCR </w:t>
      </w:r>
      <w:r w:rsidR="009D6C2B" w:rsidRPr="001C2C55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&lt;EndNote&gt;&lt;Cite&gt;&lt;Author&gt;Rawsthorne H Fau - Dock&lt;/Author&gt;&lt;Year&gt;2009&lt;/Year&gt;&lt;RecNum&gt;89&lt;/RecNum&gt;&lt;record&gt;&lt;rec-number&gt;89&lt;/rec-number&gt;&lt;foreign-keys&gt;&lt;key app="EN" db-id="zsfer9zdmtad5vefze4xpewct9z2dv5p5zx0"&gt;89&lt;/key&gt;&lt;/foreign-keys&gt;&lt;ref-type name="Journal Article"&gt;17&lt;/ref-type&gt;&lt;contributors&gt;&lt;authors&gt;&lt;author&gt;Rawsthorne H Fau - Dock, C. N.&lt;/author&gt;&lt;author&gt;Dock Cn Fau - Jaykus, L. A.&lt;/author&gt;&lt;author&gt;Jaykus, L. A.&lt;/author&gt;&lt;/authors&gt;&lt;/contributors&gt;&lt;auth-address&gt;Department of Food, Bioprocessing, and Nutrition Sciences, North Carolina State University, 400 Dan Allen Drive, Raleigh, NC 27695-7624, USA. Helen_Rawsthorne@NCSU.edu FAU - Rawsthorne, H&lt;/auth-address&gt;&lt;titles&gt;&lt;title&gt;PCR-based method using propidium monoazide to distinguish viable from nonviable Bacillus subtilis spores&lt;/title&gt;&lt;secondary-title&gt;Applied and Environmental Microbiology&lt;/secondary-title&gt;&lt;/titles&gt;&lt;periodical&gt;&lt;full-title&gt;Applied and Environmental Microbiology&lt;/full-title&gt;&lt;/periodical&gt;&lt;pages&gt;2936–2939&lt;/pages&gt;&lt;volume&gt;75&lt;/volume&gt;&lt;number&gt;9&lt;/number&gt;&lt;dates&gt;&lt;year&gt;2009&lt;/year&gt;&lt;/dates&gt;&lt;urls&gt;&lt;/urls&gt;&lt;/record&gt;&lt;/Cite&gt;&lt;/EndNote&gt;</w:instrText>
      </w:r>
      <w:r w:rsidR="009D6C2B" w:rsidRPr="001C2C55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="001C2C55">
        <w:rPr>
          <w:rFonts w:ascii="Times New Roman" w:hAnsi="Times New Roman" w:cs="Times New Roman"/>
          <w:sz w:val="24"/>
          <w:szCs w:val="24"/>
          <w:highlight w:val="yellow"/>
        </w:rPr>
        <w:t>[1]</w:t>
      </w:r>
      <w:r w:rsidR="009D6C2B" w:rsidRPr="001C2C55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in contrast to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hemacytometry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. Also, the similar trends observed in the biomass profiles using both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qPCR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hemacytometry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methods verified the appropriateness of the developed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t>qPCR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method. This study confirmed the metabolism of </w:t>
      </w:r>
      <w:proofErr w:type="spellStart"/>
      <w:r w:rsidRPr="001C2C5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pyruvate</w:t>
      </w:r>
      <w:proofErr w:type="spellEnd"/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and the released sugars by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in the clostridial co-culture, and that the observed oscillations in the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concentration in the co-cultures could be due to the slow release of sugars by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cellulolyticum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that can lead to starvation cycles for </w:t>
      </w:r>
      <w:r w:rsidRPr="001C2C55">
        <w:rPr>
          <w:rFonts w:ascii="Times New Roman" w:hAnsi="Times New Roman" w:cs="Times New Roman"/>
          <w:i/>
          <w:sz w:val="24"/>
          <w:szCs w:val="24"/>
          <w:highlight w:val="yellow"/>
        </w:rPr>
        <w:t>C. acetobutylicum</w:t>
      </w:r>
      <w:r w:rsidRPr="001C2C55">
        <w:rPr>
          <w:rFonts w:ascii="Times New Roman" w:hAnsi="Times New Roman" w:cs="Times New Roman"/>
          <w:sz w:val="24"/>
          <w:szCs w:val="24"/>
          <w:highlight w:val="yellow"/>
        </w:rPr>
        <w:t xml:space="preserve"> in the co-culture.</w:t>
      </w:r>
    </w:p>
    <w:p w:rsidR="00934C06" w:rsidRDefault="00934C06" w:rsidP="00934C06">
      <w:r w:rsidRPr="00841504">
        <w:rPr>
          <w:noProof/>
        </w:rPr>
        <w:drawing>
          <wp:inline distT="0" distB="0" distL="0" distR="0">
            <wp:extent cx="6124575" cy="3829050"/>
            <wp:effectExtent l="19050" t="0" r="0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34C06" w:rsidRDefault="00934C06" w:rsidP="00934C06">
      <w:r w:rsidRPr="00CE7BBC">
        <w:rPr>
          <w:noProof/>
        </w:rPr>
        <w:lastRenderedPageBreak/>
        <w:drawing>
          <wp:inline distT="0" distB="0" distL="0" distR="0">
            <wp:extent cx="5943600" cy="3704106"/>
            <wp:effectExtent l="0" t="0" r="0" b="0"/>
            <wp:docPr id="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4C06" w:rsidRDefault="00934C06" w:rsidP="00934C06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Supplementary Figure 2</w:t>
      </w:r>
      <w:r w:rsidRPr="00C920B5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C920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20B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C. acetobutylicum</w:t>
      </w:r>
      <w:r w:rsidRPr="00C920B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biomass profiles</w:t>
      </w:r>
      <w:r w:rsidRPr="00C920B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in the </w:t>
      </w:r>
      <w:r w:rsidRPr="00C920B5">
        <w:rPr>
          <w:rFonts w:ascii="Times New Roman" w:hAnsi="Times New Roman" w:cs="Times New Roman"/>
          <w:b w:val="0"/>
          <w:color w:val="auto"/>
          <w:sz w:val="24"/>
          <w:szCs w:val="24"/>
        </w:rPr>
        <w:t>mono-culture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Pr="00C920B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under co-culture conditions.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(a) </w:t>
      </w:r>
      <w:r w:rsidRPr="00C920B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C. acetobutylicum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was cultivated on co-culture medium at pH of 6.0 and 20 g/L cellulose without glucose/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pyruvate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addition, and characterized using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qPCR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(rhombus) and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hemacytometry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(square).</w:t>
      </w:r>
      <w:r w:rsidRPr="0023449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(b)</w:t>
      </w:r>
      <w:r w:rsidRPr="00234497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C920B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C. acetobutylicum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culture on co-culture medium at pH of 6.0 and 20 g/L cellulose. 1 g/L glucose was added at day 12, and 1 g/L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pyruvate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was added to the culture on day 19. </w:t>
      </w:r>
    </w:p>
    <w:p w:rsidR="001C2C55" w:rsidRPr="001C2C55" w:rsidRDefault="001C2C55" w:rsidP="001C2C55"/>
    <w:p w:rsidR="001C2C55" w:rsidRDefault="001C2C55" w:rsidP="00934C06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Reference:</w:t>
      </w:r>
    </w:p>
    <w:p w:rsidR="001C2C55" w:rsidRPr="001C2C55" w:rsidRDefault="009D6C2B" w:rsidP="001C2C55">
      <w:pPr>
        <w:ind w:left="720" w:hanging="720"/>
        <w:rPr>
          <w:rFonts w:ascii="Calibri" w:hAnsi="Calibri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1C2C5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1C2C55" w:rsidRPr="001C2C55">
        <w:rPr>
          <w:rFonts w:ascii="Calibri" w:hAnsi="Calibri" w:cs="Times New Roman"/>
          <w:szCs w:val="24"/>
        </w:rPr>
        <w:t>1.</w:t>
      </w:r>
      <w:r w:rsidR="001C2C55" w:rsidRPr="001C2C55">
        <w:rPr>
          <w:rFonts w:ascii="Calibri" w:hAnsi="Calibri" w:cs="Times New Roman"/>
          <w:szCs w:val="24"/>
        </w:rPr>
        <w:tab/>
        <w:t xml:space="preserve">Rawsthorne H Fau - Dock CN, Dock Cn Fau - Jaykus LA, Jaykus LA: </w:t>
      </w:r>
      <w:r w:rsidR="001C2C55" w:rsidRPr="001C2C55">
        <w:rPr>
          <w:rFonts w:ascii="Calibri" w:hAnsi="Calibri" w:cs="Times New Roman"/>
          <w:b/>
          <w:szCs w:val="24"/>
        </w:rPr>
        <w:t>PCR-based method using propidium monoazide to distinguish viable from nonviable Bacillus subtilis spores.</w:t>
      </w:r>
      <w:r w:rsidR="001C2C55" w:rsidRPr="001C2C55">
        <w:rPr>
          <w:rFonts w:ascii="Calibri" w:hAnsi="Calibri" w:cs="Times New Roman"/>
          <w:szCs w:val="24"/>
        </w:rPr>
        <w:t xml:space="preserve"> </w:t>
      </w:r>
      <w:r w:rsidR="001C2C55" w:rsidRPr="001C2C55">
        <w:rPr>
          <w:rFonts w:ascii="Calibri" w:hAnsi="Calibri" w:cs="Times New Roman"/>
          <w:i/>
          <w:szCs w:val="24"/>
        </w:rPr>
        <w:t xml:space="preserve">Applied and Environmental Microbiology </w:t>
      </w:r>
      <w:r w:rsidR="001C2C55" w:rsidRPr="001C2C55">
        <w:rPr>
          <w:rFonts w:ascii="Calibri" w:hAnsi="Calibri" w:cs="Times New Roman"/>
          <w:szCs w:val="24"/>
        </w:rPr>
        <w:t xml:space="preserve">2009, </w:t>
      </w:r>
      <w:r w:rsidR="001C2C55" w:rsidRPr="001C2C55">
        <w:rPr>
          <w:rFonts w:ascii="Calibri" w:hAnsi="Calibri" w:cs="Times New Roman"/>
          <w:b/>
          <w:szCs w:val="24"/>
        </w:rPr>
        <w:t>75:</w:t>
      </w:r>
      <w:r w:rsidR="001C2C55" w:rsidRPr="001C2C55">
        <w:rPr>
          <w:rFonts w:ascii="Calibri" w:hAnsi="Calibri" w:cs="Times New Roman"/>
          <w:szCs w:val="24"/>
        </w:rPr>
        <w:t>2936–2939.</w:t>
      </w:r>
    </w:p>
    <w:p w:rsidR="001C2C55" w:rsidRPr="001C2C55" w:rsidRDefault="001C2C55" w:rsidP="001C2C55">
      <w:pPr>
        <w:ind w:left="0" w:firstLine="0"/>
        <w:rPr>
          <w:rFonts w:ascii="Calibri" w:hAnsi="Calibri" w:cs="Times New Roman"/>
          <w:szCs w:val="24"/>
        </w:rPr>
      </w:pPr>
    </w:p>
    <w:p w:rsidR="00934C06" w:rsidRPr="007A1ED3" w:rsidRDefault="009D6C2B" w:rsidP="001C2C5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34C06" w:rsidRPr="007A1ED3" w:rsidSect="00891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328C"/>
    <w:multiLevelType w:val="multilevel"/>
    <w:tmpl w:val="7DD4BDD2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isLgl/>
      <w:lvlText w:val="%1.%2"/>
      <w:lvlJc w:val="left"/>
      <w:pPr>
        <w:ind w:left="870" w:hanging="420"/>
      </w:pPr>
      <w:rPr>
        <w:rFonts w:hint="default"/>
        <w:b/>
        <w:i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color w:val="auto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6458"/>
    <w:rsid w:val="000927BE"/>
    <w:rsid w:val="001C2C55"/>
    <w:rsid w:val="002800FA"/>
    <w:rsid w:val="0045218E"/>
    <w:rsid w:val="005558C1"/>
    <w:rsid w:val="005D68BD"/>
    <w:rsid w:val="006C6764"/>
    <w:rsid w:val="007664AF"/>
    <w:rsid w:val="007A1ED3"/>
    <w:rsid w:val="00807D81"/>
    <w:rsid w:val="00887675"/>
    <w:rsid w:val="00891BF5"/>
    <w:rsid w:val="00934C06"/>
    <w:rsid w:val="009D6C2B"/>
    <w:rsid w:val="00A12218"/>
    <w:rsid w:val="00A86458"/>
    <w:rsid w:val="00E63776"/>
    <w:rsid w:val="00FD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ind w:left="2160" w:hanging="2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C06"/>
    <w:pPr>
      <w:keepNext/>
      <w:keepLines/>
      <w:spacing w:before="20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45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4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34C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34C06"/>
    <w:pPr>
      <w:spacing w:before="0" w:after="200"/>
      <w:ind w:left="0" w:firstLine="0"/>
      <w:jc w:val="left"/>
    </w:pPr>
    <w:rPr>
      <w:rFonts w:eastAsiaTheme="minorEastAsia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ahimeh\My%20Documents\Dropbox\Fahimeh\clostridium_%20cellulolyticum\Experiments\CC+CA_batch_Dec27_201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ahimeh\My%20Documents\Dropbox\Fahimeh\clostridium_%20cellulolyticum\Experiments\CC+CA_batch_Dec27_201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ropbox\Fahimeh\qPCR\qPCR_data\CA_monocultures_Oct2012\01112012_CA_monocultures%20-%20%20Quantification%20Cq%20Result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Dropbox\Fahimeh\qPCR\qPCR_data\CA_monocultures_Oct2012\01112012_CA_monocultures%20-%20%20Quantification%20Cq%20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a</a:t>
            </a:r>
          </a:p>
        </c:rich>
      </c:tx>
      <c:layout>
        <c:manualLayout>
          <c:xMode val="edge"/>
          <c:yMode val="edge"/>
          <c:x val="1.0335917312661499E-2"/>
          <c:y val="0"/>
        </c:manualLayout>
      </c:layout>
    </c:title>
    <c:plotArea>
      <c:layout>
        <c:manualLayout>
          <c:layoutTarget val="inner"/>
          <c:xMode val="edge"/>
          <c:yMode val="edge"/>
          <c:x val="0.12440715652901466"/>
          <c:y val="2.5047981303457142E-2"/>
          <c:w val="0.83996454591647651"/>
          <c:h val="0.74038377327186433"/>
        </c:manualLayout>
      </c:layout>
      <c:scatterChart>
        <c:scatterStyle val="smoothMarker"/>
        <c:ser>
          <c:idx val="7"/>
          <c:order val="0"/>
          <c:tx>
            <c:strRef>
              <c:f>'Final analyses results'!$A$11</c:f>
              <c:strCache>
                <c:ptCount val="1"/>
              </c:strCache>
            </c:strRef>
          </c:tx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results'!$B$11:$Y$11</c:f>
              <c:numCache>
                <c:formatCode>General</c:formatCode>
                <c:ptCount val="24"/>
              </c:numCache>
            </c:numRef>
          </c:yVal>
          <c:smooth val="1"/>
        </c:ser>
        <c:ser>
          <c:idx val="11"/>
          <c:order val="1"/>
          <c:tx>
            <c:strRef>
              <c:f>'Final analyses results'!$A$15</c:f>
              <c:strCache>
                <c:ptCount val="1"/>
                <c:pt idx="0">
                  <c:v>lactate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triangle"/>
            <c:size val="8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prstClr val="black"/>
                </a:solidFill>
              </a:ln>
            </c:spPr>
          </c:marker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results'!$B$15:$Y$15</c:f>
              <c:numCache>
                <c:formatCode>0.000" "</c:formatCode>
                <c:ptCount val="24"/>
                <c:pt idx="0">
                  <c:v>3.8528692175749411E-2</c:v>
                </c:pt>
                <c:pt idx="1">
                  <c:v>3.3434068171031089E-2</c:v>
                </c:pt>
                <c:pt idx="2">
                  <c:v>0.40111907549325937</c:v>
                </c:pt>
                <c:pt idx="3">
                  <c:v>0.80937487135681663</c:v>
                </c:pt>
                <c:pt idx="4">
                  <c:v>0.75122387997191076</c:v>
                </c:pt>
                <c:pt idx="5">
                  <c:v>0.70022963602894817</c:v>
                </c:pt>
                <c:pt idx="6">
                  <c:v>0.69121042510456954</c:v>
                </c:pt>
                <c:pt idx="7">
                  <c:v>0.71599011392935463</c:v>
                </c:pt>
                <c:pt idx="8">
                  <c:v>0.77596297777421153</c:v>
                </c:pt>
                <c:pt idx="9">
                  <c:v>0.91589651596982868</c:v>
                </c:pt>
                <c:pt idx="10">
                  <c:v>1.14549403682218</c:v>
                </c:pt>
                <c:pt idx="11">
                  <c:v>1.4429364447402544</c:v>
                </c:pt>
                <c:pt idx="12">
                  <c:v>1.8957698570916648</c:v>
                </c:pt>
                <c:pt idx="13">
                  <c:v>2.4041683994217333</c:v>
                </c:pt>
                <c:pt idx="14">
                  <c:v>3.0314053733398749</c:v>
                </c:pt>
                <c:pt idx="15">
                  <c:v>3.6686134745491437</c:v>
                </c:pt>
                <c:pt idx="16">
                  <c:v>4.1668814955729774</c:v>
                </c:pt>
                <c:pt idx="17">
                  <c:v>3.3798642835227963</c:v>
                </c:pt>
                <c:pt idx="18">
                  <c:v>2.5636019958368204</c:v>
                </c:pt>
                <c:pt idx="19">
                  <c:v>1.9804409223355173</c:v>
                </c:pt>
                <c:pt idx="20">
                  <c:v>1.9685944464612681</c:v>
                </c:pt>
                <c:pt idx="21">
                  <c:v>2.1634985578676735</c:v>
                </c:pt>
                <c:pt idx="22">
                  <c:v>1.7310885522186639</c:v>
                </c:pt>
                <c:pt idx="23">
                  <c:v>0.85132051885906512</c:v>
                </c:pt>
              </c:numCache>
            </c:numRef>
          </c:yVal>
          <c:smooth val="1"/>
        </c:ser>
        <c:ser>
          <c:idx val="13"/>
          <c:order val="2"/>
          <c:tx>
            <c:strRef>
              <c:f>'Final analyses results'!$A$17</c:f>
              <c:strCache>
                <c:ptCount val="1"/>
                <c:pt idx="0">
                  <c:v>acetate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star"/>
            <c:size val="8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results'!$B$17:$Y$17</c:f>
              <c:numCache>
                <c:formatCode>General</c:formatCode>
                <c:ptCount val="24"/>
                <c:pt idx="0" formatCode="0.000&quot; &quot;">
                  <c:v>2.2501456369479016E-2</c:v>
                </c:pt>
                <c:pt idx="2" formatCode="0.000&quot; &quot;">
                  <c:v>4.376665934353953E-2</c:v>
                </c:pt>
                <c:pt idx="3" formatCode="0.000&quot; &quot;">
                  <c:v>4.5591093743242286E-2</c:v>
                </c:pt>
                <c:pt idx="4" formatCode="0.000&quot; &quot;">
                  <c:v>0.12145749706356761</c:v>
                </c:pt>
                <c:pt idx="5" formatCode="0.000&quot; &quot;">
                  <c:v>0.18562209776138341</c:v>
                </c:pt>
                <c:pt idx="6" formatCode="0.000&quot; &quot;">
                  <c:v>0.31265753364549781</c:v>
                </c:pt>
                <c:pt idx="7" formatCode="0.000&quot; &quot;">
                  <c:v>0.63337929611371713</c:v>
                </c:pt>
                <c:pt idx="8" formatCode="0.000&quot; &quot;">
                  <c:v>1.1031323514430147</c:v>
                </c:pt>
                <c:pt idx="9" formatCode="0.000&quot; &quot;">
                  <c:v>1.6782908138093697</c:v>
                </c:pt>
                <c:pt idx="10" formatCode="0.000&quot; &quot;">
                  <c:v>2.1267117546217502</c:v>
                </c:pt>
                <c:pt idx="11" formatCode="0.000&quot; &quot;">
                  <c:v>2.492411643579763</c:v>
                </c:pt>
                <c:pt idx="12" formatCode="0.000&quot; &quot;">
                  <c:v>2.8195544651696927</c:v>
                </c:pt>
                <c:pt idx="13" formatCode="0.000&quot; &quot;">
                  <c:v>3.0424963746468388</c:v>
                </c:pt>
                <c:pt idx="14" formatCode="0.000&quot; &quot;">
                  <c:v>3.2418886021131068</c:v>
                </c:pt>
                <c:pt idx="15" formatCode="0.000&quot; &quot;">
                  <c:v>3.3709242595437181</c:v>
                </c:pt>
                <c:pt idx="16" formatCode="0.000&quot; &quot;">
                  <c:v>3.5202655504671636</c:v>
                </c:pt>
                <c:pt idx="17" formatCode="0.000&quot; &quot;">
                  <c:v>3.5085113559540804</c:v>
                </c:pt>
                <c:pt idx="18" formatCode="0.000&quot; &quot;">
                  <c:v>3.5790208660366085</c:v>
                </c:pt>
                <c:pt idx="19" formatCode="0.000&quot; &quot;">
                  <c:v>3.9777071346530377</c:v>
                </c:pt>
                <c:pt idx="20" formatCode="0.000&quot; &quot;">
                  <c:v>4.0838980627223833</c:v>
                </c:pt>
                <c:pt idx="21" formatCode="0.000&quot; &quot;">
                  <c:v>4.2153040882493915</c:v>
                </c:pt>
                <c:pt idx="22" formatCode="0.000&quot; &quot;">
                  <c:v>4.2090679063088912</c:v>
                </c:pt>
                <c:pt idx="23" formatCode="0.000&quot; &quot;">
                  <c:v>4.2281048307129607</c:v>
                </c:pt>
              </c:numCache>
            </c:numRef>
          </c:yVal>
          <c:smooth val="1"/>
        </c:ser>
        <c:ser>
          <c:idx val="14"/>
          <c:order val="3"/>
          <c:tx>
            <c:strRef>
              <c:f>'Final analyses results'!$A$18</c:f>
              <c:strCache>
                <c:ptCount val="1"/>
                <c:pt idx="0">
                  <c:v>butyrate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circle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results'!$B$18:$Y$18</c:f>
              <c:numCache>
                <c:formatCode>General</c:formatCode>
                <c:ptCount val="24"/>
                <c:pt idx="3" formatCode="0.000&quot; &quot;">
                  <c:v>3.4526183202572724E-2</c:v>
                </c:pt>
                <c:pt idx="4" formatCode="0.000&quot; &quot;">
                  <c:v>5.3765406858358199E-2</c:v>
                </c:pt>
                <c:pt idx="5">
                  <c:v>0</c:v>
                </c:pt>
                <c:pt idx="6" formatCode="0.000&quot; &quot;">
                  <c:v>4.7016427871900864E-2</c:v>
                </c:pt>
                <c:pt idx="7" formatCode="0.000&quot; &quot;">
                  <c:v>1.9711484186505535E-2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 formatCode="0.000&quot; &quot;">
                  <c:v>3.062677948713665E-2</c:v>
                </c:pt>
                <c:pt idx="14" formatCode="0.000&quot; &quot;">
                  <c:v>3.4625777795923476E-2</c:v>
                </c:pt>
                <c:pt idx="15" formatCode="0.000&quot; &quot;">
                  <c:v>2.5816571562068631E-2</c:v>
                </c:pt>
                <c:pt idx="16" formatCode="0.000&quot; &quot;">
                  <c:v>0.14006326263693208</c:v>
                </c:pt>
                <c:pt idx="17" formatCode="0.000&quot; &quot;">
                  <c:v>0.592635173349643</c:v>
                </c:pt>
                <c:pt idx="18" formatCode="0.000&quot; &quot;">
                  <c:v>0.7352596797667077</c:v>
                </c:pt>
                <c:pt idx="19" formatCode="0.000&quot; &quot;">
                  <c:v>0.86412334223363785</c:v>
                </c:pt>
                <c:pt idx="20" formatCode="0.000&quot; &quot;">
                  <c:v>0.87199443354279482</c:v>
                </c:pt>
                <c:pt idx="21" formatCode="0.000&quot; &quot;">
                  <c:v>0.87108873340959037</c:v>
                </c:pt>
                <c:pt idx="22" formatCode="0.000&quot; &quot;">
                  <c:v>1.1783752146978321</c:v>
                </c:pt>
                <c:pt idx="23" formatCode="0.000&quot; &quot;">
                  <c:v>1.6650645495638647</c:v>
                </c:pt>
              </c:numCache>
            </c:numRef>
          </c:yVal>
          <c:smooth val="1"/>
        </c:ser>
        <c:ser>
          <c:idx val="15"/>
          <c:order val="4"/>
          <c:tx>
            <c:strRef>
              <c:f>'Final analyses results'!$A$19</c:f>
              <c:strCache>
                <c:ptCount val="1"/>
                <c:pt idx="0">
                  <c:v>ethanol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diamond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results'!$B$19:$Y$19</c:f>
              <c:numCache>
                <c:formatCode>General</c:formatCode>
                <c:ptCount val="24"/>
                <c:pt idx="3" formatCode="0.000&quot; &quot;">
                  <c:v>5.0393720474756994E-2</c:v>
                </c:pt>
                <c:pt idx="4" formatCode="0.000&quot; &quot;">
                  <c:v>8.5785726473446525E-2</c:v>
                </c:pt>
                <c:pt idx="5" formatCode="0.000&quot; &quot;">
                  <c:v>6.4060411196754707E-2</c:v>
                </c:pt>
                <c:pt idx="6" formatCode="0.000&quot; &quot;">
                  <c:v>0.14313630378381548</c:v>
                </c:pt>
                <c:pt idx="7" formatCode="0.000&quot; &quot;">
                  <c:v>0.31016532311091488</c:v>
                </c:pt>
                <c:pt idx="8" formatCode="0.000&quot; &quot;">
                  <c:v>0.26486429824553487</c:v>
                </c:pt>
                <c:pt idx="9" formatCode="0.000&quot; &quot;">
                  <c:v>0.45012713563183154</c:v>
                </c:pt>
                <c:pt idx="10" formatCode="0.000&quot; &quot;">
                  <c:v>0.62127301032436544</c:v>
                </c:pt>
                <c:pt idx="11" formatCode="0.000&quot; &quot;">
                  <c:v>0.80455673823061158</c:v>
                </c:pt>
                <c:pt idx="12" formatCode="0.000&quot; &quot;">
                  <c:v>0.96204665839283365</c:v>
                </c:pt>
                <c:pt idx="13" formatCode="0.000&quot; &quot;">
                  <c:v>1.1761824461578096</c:v>
                </c:pt>
                <c:pt idx="14" formatCode="0.000&quot; &quot;">
                  <c:v>1.2957426972522665</c:v>
                </c:pt>
                <c:pt idx="15" formatCode="0.000&quot; &quot;">
                  <c:v>1.2893307938764831</c:v>
                </c:pt>
                <c:pt idx="16" formatCode="0.000&quot; &quot;">
                  <c:v>1.4521548381503324</c:v>
                </c:pt>
                <c:pt idx="17" formatCode="0.000&quot; &quot;">
                  <c:v>1.4354482564629731</c:v>
                </c:pt>
                <c:pt idx="18" formatCode="0.000&quot; &quot;">
                  <c:v>1.4803812486802082</c:v>
                </c:pt>
                <c:pt idx="19" formatCode="0.000&quot; &quot;">
                  <c:v>1.6355551630997096</c:v>
                </c:pt>
                <c:pt idx="20" formatCode="0.000&quot; &quot;">
                  <c:v>1.8071076883265047</c:v>
                </c:pt>
                <c:pt idx="21" formatCode="0.000&quot; &quot;">
                  <c:v>1.8175171052192631</c:v>
                </c:pt>
                <c:pt idx="22" formatCode="0.000&quot; &quot;">
                  <c:v>1.938694127663632</c:v>
                </c:pt>
                <c:pt idx="23" formatCode="0.000&quot; &quot;">
                  <c:v>1.9754341571194152</c:v>
                </c:pt>
              </c:numCache>
            </c:numRef>
          </c:yVal>
          <c:smooth val="1"/>
        </c:ser>
        <c:axId val="76667136"/>
        <c:axId val="76673792"/>
      </c:scatterChart>
      <c:valAx>
        <c:axId val="76667136"/>
        <c:scaling>
          <c:orientation val="minMax"/>
          <c:max val="28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(day)</a:t>
                </a:r>
              </a:p>
            </c:rich>
          </c:tx>
        </c:title>
        <c:numFmt formatCode="General" sourceLinked="1"/>
        <c:tickLblPos val="nextTo"/>
        <c:crossAx val="76673792"/>
        <c:crosses val="autoZero"/>
        <c:crossBetween val="midCat"/>
        <c:majorUnit val="4"/>
      </c:valAx>
      <c:valAx>
        <c:axId val="76673792"/>
        <c:scaling>
          <c:orientation val="minMax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Concentration  (g/L)</a:t>
                </a:r>
              </a:p>
            </c:rich>
          </c:tx>
          <c:layout>
            <c:manualLayout>
              <c:xMode val="edge"/>
              <c:yMode val="edge"/>
              <c:x val="6.2090315633622798E-3"/>
              <c:y val="0.23808956522921682"/>
            </c:manualLayout>
          </c:layout>
        </c:title>
        <c:numFmt formatCode="#,##0.0" sourceLinked="0"/>
        <c:tickLblPos val="nextTo"/>
        <c:crossAx val="76667136"/>
        <c:crosses val="autoZero"/>
        <c:crossBetween val="midCat"/>
        <c:majorUnit val="1"/>
      </c:valAx>
      <c:spPr>
        <a:ln>
          <a:solidFill>
            <a:schemeClr val="bg1">
              <a:lumMod val="65000"/>
            </a:schemeClr>
          </a:solidFill>
        </a:ln>
      </c:spPr>
    </c:plotArea>
    <c:plotVisOnly val="1"/>
  </c:chart>
  <c:spPr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b</a:t>
            </a:r>
          </a:p>
        </c:rich>
      </c:tx>
      <c:layout>
        <c:manualLayout>
          <c:xMode val="edge"/>
          <c:yMode val="edge"/>
          <c:x val="1.1128276686933143E-3"/>
          <c:y val="2.7608016887797323E-3"/>
        </c:manualLayout>
      </c:layout>
    </c:title>
    <c:plotArea>
      <c:layout>
        <c:manualLayout>
          <c:layoutTarget val="inner"/>
          <c:xMode val="edge"/>
          <c:yMode val="edge"/>
          <c:x val="0.13289394996511511"/>
          <c:y val="3.1956109652960044E-2"/>
          <c:w val="0.82981710355825777"/>
          <c:h val="0.81441272965879252"/>
        </c:manualLayout>
      </c:layout>
      <c:scatterChart>
        <c:scatterStyle val="smoothMarker"/>
        <c:ser>
          <c:idx val="9"/>
          <c:order val="0"/>
          <c:tx>
            <c:strRef>
              <c:f>'Final analyses results'!$A$13</c:f>
              <c:strCache>
                <c:ptCount val="1"/>
                <c:pt idx="0">
                  <c:v>pyruvate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triangle"/>
            <c:size val="8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'Final analyses results'!$B$3:$Y$3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25</c:v>
                </c:pt>
                <c:pt idx="23">
                  <c:v>28</c:v>
                </c:pt>
              </c:numCache>
            </c:numRef>
          </c:xVal>
          <c:yVal>
            <c:numRef>
              <c:f>'Final analyses results'!$B$13:$Y$13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 formatCode="0.000&quot; &quot;">
                  <c:v>1.6749378047907361E-2</c:v>
                </c:pt>
                <c:pt idx="9" formatCode="0.000&quot; &quot;">
                  <c:v>5.0066618126059378E-2</c:v>
                </c:pt>
                <c:pt idx="10" formatCode="0.000&quot; &quot;">
                  <c:v>9.3793772208908124E-2</c:v>
                </c:pt>
                <c:pt idx="11" formatCode="0.000&quot; &quot;">
                  <c:v>0.11408316659447452</c:v>
                </c:pt>
                <c:pt idx="12" formatCode="0.000&quot; &quot;">
                  <c:v>0.11350381548952349</c:v>
                </c:pt>
                <c:pt idx="13" formatCode="0.000&quot; &quot;">
                  <c:v>0.10536430889618177</c:v>
                </c:pt>
                <c:pt idx="14" formatCode="0.000&quot; &quot;">
                  <c:v>9.5836697658078007E-2</c:v>
                </c:pt>
                <c:pt idx="15" formatCode="0.000&quot; &quot;">
                  <c:v>7.3588358444626689E-2</c:v>
                </c:pt>
                <c:pt idx="16" formatCode="0.000&quot; &quot;">
                  <c:v>4.3069632541173332E-2</c:v>
                </c:pt>
                <c:pt idx="17" formatCode="0.000&quot; &quot;">
                  <c:v>2.424121161784781E-2</c:v>
                </c:pt>
                <c:pt idx="18" formatCode="0.000&quot; &quot;">
                  <c:v>2.5451253380215852E-2</c:v>
                </c:pt>
                <c:pt idx="19" formatCode="0.000&quot; &quot;">
                  <c:v>2.9774878302280799E-2</c:v>
                </c:pt>
                <c:pt idx="20" formatCode="0.000&quot; &quot;">
                  <c:v>1.3611040065101788E-2</c:v>
                </c:pt>
                <c:pt idx="21" formatCode="0.000&quot; &quot;">
                  <c:v>1.6711077738570553E-2</c:v>
                </c:pt>
                <c:pt idx="22">
                  <c:v>0</c:v>
                </c:pt>
                <c:pt idx="23">
                  <c:v>0</c:v>
                </c:pt>
              </c:numCache>
            </c:numRef>
          </c:yVal>
          <c:smooth val="1"/>
        </c:ser>
        <c:ser>
          <c:idx val="0"/>
          <c:order val="1"/>
          <c:tx>
            <c:strRef>
              <c:f>'Final analyses results'!$A$20</c:f>
              <c:strCache>
                <c:ptCount val="1"/>
                <c:pt idx="0">
                  <c:v>butanol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diamond"/>
            <c:size val="8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chemeClr val="tx2">
                    <a:lumMod val="50000"/>
                  </a:schemeClr>
                </a:solidFill>
              </a:ln>
            </c:spPr>
          </c:marker>
          <c:xVal>
            <c:numRef>
              <c:f>'Final analyses results'!$R$3:$Y$3</c:f>
              <c:numCache>
                <c:formatCode>General</c:formatCode>
                <c:ptCount val="8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21</c:v>
                </c:pt>
                <c:pt idx="4">
                  <c:v>22</c:v>
                </c:pt>
                <c:pt idx="5">
                  <c:v>23</c:v>
                </c:pt>
                <c:pt idx="6">
                  <c:v>25</c:v>
                </c:pt>
                <c:pt idx="7">
                  <c:v>28</c:v>
                </c:pt>
              </c:numCache>
            </c:numRef>
          </c:xVal>
          <c:yVal>
            <c:numRef>
              <c:f>'Final analyses results'!$R$20:$Y$20</c:f>
              <c:numCache>
                <c:formatCode>0.000" "</c:formatCode>
                <c:ptCount val="8"/>
                <c:pt idx="0" formatCode="General">
                  <c:v>0</c:v>
                </c:pt>
                <c:pt idx="1">
                  <c:v>5.2250257889042133E-2</c:v>
                </c:pt>
                <c:pt idx="2">
                  <c:v>0.14705070924246141</c:v>
                </c:pt>
                <c:pt idx="3">
                  <c:v>0.25140704549377629</c:v>
                </c:pt>
                <c:pt idx="4">
                  <c:v>0.28707183913943213</c:v>
                </c:pt>
                <c:pt idx="5">
                  <c:v>0.28766534014920692</c:v>
                </c:pt>
                <c:pt idx="6">
                  <c:v>0.31063757383738283</c:v>
                </c:pt>
                <c:pt idx="7">
                  <c:v>0.35011881033521297</c:v>
                </c:pt>
              </c:numCache>
            </c:numRef>
          </c:yVal>
          <c:smooth val="1"/>
        </c:ser>
        <c:axId val="123340288"/>
        <c:axId val="92859392"/>
      </c:scatterChart>
      <c:valAx>
        <c:axId val="123340288"/>
        <c:scaling>
          <c:orientation val="minMax"/>
          <c:max val="28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(day)</a:t>
                </a:r>
              </a:p>
            </c:rich>
          </c:tx>
          <c:layout>
            <c:manualLayout>
              <c:xMode val="edge"/>
              <c:yMode val="edge"/>
              <c:x val="0.47628343134323398"/>
              <c:y val="0.93001420693972892"/>
            </c:manualLayout>
          </c:layout>
        </c:title>
        <c:numFmt formatCode="General" sourceLinked="1"/>
        <c:tickLblPos val="nextTo"/>
        <c:crossAx val="92859392"/>
        <c:crosses val="autoZero"/>
        <c:crossBetween val="midCat"/>
        <c:majorUnit val="4"/>
      </c:valAx>
      <c:valAx>
        <c:axId val="92859392"/>
        <c:scaling>
          <c:orientation val="minMax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Concentration (g/L)</a:t>
                </a:r>
              </a:p>
            </c:rich>
          </c:tx>
          <c:layout>
            <c:manualLayout>
              <c:xMode val="edge"/>
              <c:yMode val="edge"/>
              <c:x val="6.3291139240506398E-3"/>
              <c:y val="0.20408573928258969"/>
            </c:manualLayout>
          </c:layout>
        </c:title>
        <c:numFmt formatCode="#,##0.00" sourceLinked="0"/>
        <c:tickLblPos val="nextTo"/>
        <c:crossAx val="123340288"/>
        <c:crosses val="autoZero"/>
        <c:crossBetween val="midCat"/>
      </c:valAx>
      <c:spPr>
        <a:ln>
          <a:solidFill>
            <a:sysClr val="window" lastClr="FFFFFF">
              <a:lumMod val="65000"/>
            </a:sysClr>
          </a:solidFill>
        </a:ln>
      </c:spPr>
    </c:plotArea>
    <c:plotVisOnly val="1"/>
  </c:chart>
  <c:spPr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a</a:t>
            </a:r>
          </a:p>
        </c:rich>
      </c:tx>
      <c:layout>
        <c:manualLayout>
          <c:xMode val="edge"/>
          <c:yMode val="edge"/>
          <c:x val="4.2533563553389503E-4"/>
          <c:y val="1.8518431464723629E-2"/>
        </c:manualLayout>
      </c:layout>
    </c:title>
    <c:plotArea>
      <c:layout>
        <c:manualLayout>
          <c:layoutTarget val="inner"/>
          <c:xMode val="edge"/>
          <c:yMode val="edge"/>
          <c:x val="0.21757743369327248"/>
          <c:y val="7.4433143773694949E-2"/>
          <c:w val="0.73563764261011511"/>
          <c:h val="0.75032872940062822"/>
        </c:manualLayout>
      </c:layout>
      <c:scatterChart>
        <c:scatterStyle val="lineMarker"/>
        <c:ser>
          <c:idx val="0"/>
          <c:order val="0"/>
          <c:tx>
            <c:v>qPCR</c:v>
          </c:tx>
          <c:spPr>
            <a:ln w="9525">
              <a:solidFill>
                <a:schemeClr val="tx1"/>
              </a:solidFill>
            </a:ln>
          </c:spPr>
          <c:marker>
            <c:symbol val="diamond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(qPCR!$S$14,qPCR!$S$19,qPCR!$S$21,qPCR!$S$23)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19</c:v>
                </c:pt>
                <c:pt idx="3">
                  <c:v>26</c:v>
                </c:pt>
              </c:numCache>
            </c:numRef>
          </c:xVal>
          <c:yVal>
            <c:numRef>
              <c:f>(qPCR!$Q$14,qPCR!$Q$19,qPCR!$Q$21,qPCR!$Q$23)</c:f>
              <c:numCache>
                <c:formatCode>0.00E+00</c:formatCode>
                <c:ptCount val="4"/>
                <c:pt idx="0">
                  <c:v>50111953.612718984</c:v>
                </c:pt>
                <c:pt idx="1">
                  <c:v>13947068.08555091</c:v>
                </c:pt>
                <c:pt idx="2">
                  <c:v>8313057.1794563597</c:v>
                </c:pt>
                <c:pt idx="3">
                  <c:v>5574457.0371183567</c:v>
                </c:pt>
              </c:numCache>
            </c:numRef>
          </c:yVal>
        </c:ser>
        <c:ser>
          <c:idx val="1"/>
          <c:order val="1"/>
          <c:tx>
            <c:v>hemacytometry</c:v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(qPCR!$S$14,qPCR!$S$17,qPCR!$S$19,qPCR!$S$21,qPCR!$S$23)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19</c:v>
                </c:pt>
                <c:pt idx="4">
                  <c:v>26</c:v>
                </c:pt>
              </c:numCache>
            </c:numRef>
          </c:xVal>
          <c:yVal>
            <c:numRef>
              <c:f>(qPCR!$R$14,qPCR!$R$17,qPCR!$R$19,qPCR!$R$21,qPCR!$R$23)</c:f>
              <c:numCache>
                <c:formatCode>0.00E+00</c:formatCode>
                <c:ptCount val="5"/>
                <c:pt idx="0">
                  <c:v>20000000</c:v>
                </c:pt>
                <c:pt idx="1">
                  <c:v>7000000</c:v>
                </c:pt>
                <c:pt idx="2">
                  <c:v>750000</c:v>
                </c:pt>
                <c:pt idx="3">
                  <c:v>120000</c:v>
                </c:pt>
                <c:pt idx="4">
                  <c:v>380000</c:v>
                </c:pt>
              </c:numCache>
            </c:numRef>
          </c:yVal>
        </c:ser>
        <c:axId val="76851456"/>
        <c:axId val="85463808"/>
      </c:scatterChart>
      <c:valAx>
        <c:axId val="76851456"/>
        <c:scaling>
          <c:orientation val="minMax"/>
          <c:max val="28"/>
          <c:min val="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(day)</a:t>
                </a:r>
              </a:p>
            </c:rich>
          </c:tx>
        </c:title>
        <c:numFmt formatCode="General" sourceLinked="1"/>
        <c:tickLblPos val="nextTo"/>
        <c:crossAx val="85463808"/>
        <c:crosses val="autoZero"/>
        <c:crossBetween val="midCat"/>
        <c:majorUnit val="7"/>
      </c:valAx>
      <c:valAx>
        <c:axId val="85463808"/>
        <c:scaling>
          <c:logBase val="10"/>
          <c:orientation val="minMax"/>
          <c:max val="1000000000"/>
          <c:min val="100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Biomass conc. (cell/ml)</a:t>
                </a:r>
              </a:p>
            </c:rich>
          </c:tx>
          <c:layout>
            <c:manualLayout>
              <c:xMode val="edge"/>
              <c:yMode val="edge"/>
              <c:x val="3.5424988672683413E-2"/>
              <c:y val="0.23693344302111527"/>
            </c:manualLayout>
          </c:layout>
        </c:title>
        <c:numFmt formatCode="0.0E+00" sourceLinked="0"/>
        <c:tickLblPos val="nextTo"/>
        <c:crossAx val="76851456"/>
        <c:crosses val="autoZero"/>
        <c:crossBetween val="midCat"/>
        <c:majorUnit val="10"/>
      </c:valAx>
      <c:spPr>
        <a:noFill/>
        <a:ln>
          <a:solidFill>
            <a:schemeClr val="tx1">
              <a:lumMod val="50000"/>
              <a:lumOff val="50000"/>
            </a:schemeClr>
          </a:solidFill>
        </a:ln>
      </c:spPr>
    </c:plotArea>
    <c:plotVisOnly val="1"/>
    <c:dispBlanksAs val="gap"/>
  </c:chart>
  <c:spPr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b</a:t>
            </a:r>
          </a:p>
        </c:rich>
      </c:tx>
      <c:layout>
        <c:manualLayout>
          <c:xMode val="edge"/>
          <c:yMode val="edge"/>
          <c:x val="1.5930334289609421E-3"/>
          <c:y val="2.0749454510957228E-3"/>
        </c:manualLayout>
      </c:layout>
    </c:title>
    <c:plotArea>
      <c:layout>
        <c:manualLayout>
          <c:layoutTarget val="inner"/>
          <c:xMode val="edge"/>
          <c:yMode val="edge"/>
          <c:x val="0.18969207918777628"/>
          <c:y val="0.12480469353095569"/>
          <c:w val="0.77582974221245771"/>
          <c:h val="0.70373195538058209"/>
        </c:manualLayout>
      </c:layout>
      <c:scatterChart>
        <c:scatterStyle val="lineMarker"/>
        <c:ser>
          <c:idx val="1"/>
          <c:order val="0"/>
          <c:tx>
            <c:v>hemacytometry</c:v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(qPCR!$S$26,qPCR!$S$28,qPCR!$S$30,qPCR!$S$32,qPCR!$S$35,qPCR!$S$39,qPCR!$S$42,qPCR!$S$45,qPCR!$S$47,qPCR!$S$51)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26</c:v>
                </c:pt>
              </c:numCache>
            </c:numRef>
          </c:xVal>
          <c:yVal>
            <c:numRef>
              <c:f>(qPCR!$R$26,qPCR!$R$28,qPCR!$R$30,qPCR!$R$32,qPCR!$R$35,qPCR!$R$39,qPCR!$R$42,qPCR!$R$45,qPCR!$R$47,qPCR!$R$51)</c:f>
              <c:numCache>
                <c:formatCode>0.00E+00</c:formatCode>
                <c:ptCount val="10"/>
                <c:pt idx="0">
                  <c:v>24000000</c:v>
                </c:pt>
                <c:pt idx="1">
                  <c:v>7000000</c:v>
                </c:pt>
                <c:pt idx="2">
                  <c:v>1400000</c:v>
                </c:pt>
                <c:pt idx="3">
                  <c:v>750000</c:v>
                </c:pt>
                <c:pt idx="4">
                  <c:v>60000000</c:v>
                </c:pt>
                <c:pt idx="5">
                  <c:v>2500000</c:v>
                </c:pt>
                <c:pt idx="6">
                  <c:v>500000</c:v>
                </c:pt>
                <c:pt idx="7">
                  <c:v>750000</c:v>
                </c:pt>
                <c:pt idx="8">
                  <c:v>1000000</c:v>
                </c:pt>
                <c:pt idx="9">
                  <c:v>380000</c:v>
                </c:pt>
              </c:numCache>
            </c:numRef>
          </c:yVal>
        </c:ser>
        <c:ser>
          <c:idx val="0"/>
          <c:order val="1"/>
          <c:tx>
            <c:v>qPCR</c:v>
          </c:tx>
          <c:spPr>
            <a:ln w="9525">
              <a:solidFill>
                <a:schemeClr val="tx1"/>
              </a:solidFill>
            </a:ln>
          </c:spPr>
          <c:marker>
            <c:symbol val="diamond"/>
            <c:size val="8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(qPCR!$S$26,qPCR!$S$28,qPCR!$S$30,qPCR!$S$32,qPCR!$S$35,qPCR!$S$39,qPCR!$S$42,qPCR!$S$45,qPCR!$S$47,qPCR!$S$49,qPCR!$S$51)</c:f>
              <c:numCache>
                <c:formatCode>General</c:formatCode>
                <c:ptCount val="11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23</c:v>
                </c:pt>
                <c:pt idx="10">
                  <c:v>26</c:v>
                </c:pt>
              </c:numCache>
            </c:numRef>
          </c:xVal>
          <c:yVal>
            <c:numRef>
              <c:f>(qPCR!$Q$26,qPCR!$Q$28,qPCR!$Q$30,qPCR!$Q$32,qPCR!$Q$35,qPCR!$Q$39,qPCR!$Q$42,qPCR!$Q$45,qPCR!$Q$47,qPCR!$Q$49,qPCR!$Q$51)</c:f>
              <c:numCache>
                <c:formatCode>0.00E+00</c:formatCode>
                <c:ptCount val="11"/>
                <c:pt idx="0">
                  <c:v>239621735.02608868</c:v>
                </c:pt>
                <c:pt idx="1">
                  <c:v>37188716.176692672</c:v>
                </c:pt>
                <c:pt idx="2">
                  <c:v>13076303.395370984</c:v>
                </c:pt>
                <c:pt idx="3">
                  <c:v>5333974.5618238598</c:v>
                </c:pt>
                <c:pt idx="4">
                  <c:v>1048772329.1417019</c:v>
                </c:pt>
                <c:pt idx="5">
                  <c:v>99622083.431010187</c:v>
                </c:pt>
                <c:pt idx="6">
                  <c:v>2603225.4856137857</c:v>
                </c:pt>
                <c:pt idx="7">
                  <c:v>4803947.9137638994</c:v>
                </c:pt>
                <c:pt idx="8">
                  <c:v>28186753.605165239</c:v>
                </c:pt>
                <c:pt idx="9">
                  <c:v>4877188.7120558964</c:v>
                </c:pt>
                <c:pt idx="10">
                  <c:v>3719853.7079643062</c:v>
                </c:pt>
              </c:numCache>
            </c:numRef>
          </c:yVal>
        </c:ser>
        <c:axId val="92316416"/>
        <c:axId val="92318720"/>
      </c:scatterChart>
      <c:valAx>
        <c:axId val="92316416"/>
        <c:scaling>
          <c:orientation val="minMax"/>
          <c:max val="28"/>
          <c:min val="0"/>
        </c:scaling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 b="1" i="0" baseline="0"/>
                  <a:t>Time (day)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50752934952898332"/>
              <c:y val="0.91061948581728458"/>
            </c:manualLayout>
          </c:layout>
        </c:title>
        <c:numFmt formatCode="General" sourceLinked="1"/>
        <c:tickLblPos val="nextTo"/>
        <c:crossAx val="92318720"/>
        <c:crosses val="autoZero"/>
        <c:crossBetween val="midCat"/>
        <c:majorUnit val="7"/>
      </c:valAx>
      <c:valAx>
        <c:axId val="92318720"/>
        <c:scaling>
          <c:logBase val="10"/>
          <c:orientation val="minMax"/>
          <c:max val="2000000000"/>
          <c:min val="1000"/>
        </c:scaling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US" sz="1200" b="1" i="0" baseline="0"/>
                  <a:t>Biomass conc. (cell/ml)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1.7645119941402703E-2"/>
              <c:y val="0.28978300603990781"/>
            </c:manualLayout>
          </c:layout>
        </c:title>
        <c:numFmt formatCode="0.0E+00" sourceLinked="0"/>
        <c:tickLblPos val="nextTo"/>
        <c:crossAx val="92316416"/>
        <c:crosses val="autoZero"/>
        <c:crossBetween val="midCat"/>
      </c:valAx>
      <c:spPr>
        <a:ln>
          <a:solidFill>
            <a:schemeClr val="tx1">
              <a:lumMod val="50000"/>
              <a:lumOff val="50000"/>
            </a:schemeClr>
          </a:solidFill>
        </a:ln>
      </c:spPr>
    </c:plotArea>
    <c:plotVisOnly val="1"/>
    <c:dispBlanksAs val="gap"/>
  </c:chart>
  <c:spPr>
    <a:ln>
      <a:noFill/>
    </a:ln>
  </c:spPr>
  <c:txPr>
    <a:bodyPr/>
    <a:lstStyle/>
    <a:p>
      <a:pPr>
        <a:defRPr sz="1200"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671</Words>
  <Characters>3825</Characters>
  <Application>Microsoft Office Word</Application>
  <DocSecurity>0</DocSecurity>
  <Lines>31</Lines>
  <Paragraphs>8</Paragraphs>
  <ScaleCrop>false</ScaleCrop>
  <Company>UT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Fahimeh</dc:creator>
  <cp:keywords/>
  <dc:description/>
  <cp:lastModifiedBy>fahimeh</cp:lastModifiedBy>
  <cp:revision>14</cp:revision>
  <dcterms:created xsi:type="dcterms:W3CDTF">2013-01-08T21:48:00Z</dcterms:created>
  <dcterms:modified xsi:type="dcterms:W3CDTF">2013-06-14T18:46:00Z</dcterms:modified>
</cp:coreProperties>
</file>