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DA9" w:rsidRPr="00BA7B9F" w:rsidRDefault="00030DA9" w:rsidP="00030DA9">
      <w:pPr>
        <w:pStyle w:val="Heading3"/>
        <w:rPr>
          <w:b w:val="0"/>
        </w:rPr>
      </w:pPr>
      <w:r w:rsidRPr="002F07FB">
        <w:rPr>
          <w:rFonts w:ascii="Arial" w:hAnsi="Arial" w:cs="Arial"/>
          <w:sz w:val="22"/>
          <w:szCs w:val="28"/>
        </w:rPr>
        <w:t xml:space="preserve">Additional file </w:t>
      </w:r>
      <w:r w:rsidR="00BE2B0F">
        <w:rPr>
          <w:rFonts w:ascii="Arial" w:hAnsi="Arial" w:cs="Arial"/>
          <w:sz w:val="22"/>
          <w:szCs w:val="28"/>
        </w:rPr>
        <w:t>12</w:t>
      </w:r>
      <w:bookmarkStart w:id="0" w:name="_GoBack"/>
      <w:bookmarkEnd w:id="0"/>
    </w:p>
    <w:p w:rsidR="00030DA9" w:rsidRPr="00BA7B9F" w:rsidRDefault="00030DA9" w:rsidP="00030DA9">
      <w:pPr>
        <w:spacing w:line="480" w:lineRule="auto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030DA9" w:rsidRPr="002931A3" w:rsidRDefault="00030DA9" w:rsidP="00030DA9">
      <w:pPr>
        <w:spacing w:line="48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2931A3">
        <w:rPr>
          <w:rFonts w:ascii="Times New Roman" w:hAnsi="Times New Roman" w:cs="Times New Roman"/>
          <w:b/>
          <w:sz w:val="24"/>
          <w:szCs w:val="24"/>
        </w:rPr>
        <w:t>2</w:t>
      </w:r>
      <w:r w:rsidRPr="002931A3">
        <w:rPr>
          <w:rFonts w:ascii="Times New Roman" w:hAnsi="Times New Roman" w:cs="Times New Roman"/>
          <w:b/>
          <w:sz w:val="24"/>
          <w:szCs w:val="24"/>
          <w:vertAlign w:val="superscript"/>
        </w:rPr>
        <w:t>N</w:t>
      </w:r>
      <w:r w:rsidRPr="002931A3">
        <w:rPr>
          <w:rFonts w:ascii="Times New Roman" w:hAnsi="Times New Roman" w:cs="Times New Roman"/>
          <w:b/>
          <w:sz w:val="24"/>
          <w:szCs w:val="24"/>
        </w:rPr>
        <w:t xml:space="preserve"> method</w:t>
      </w:r>
    </w:p>
    <w:p w:rsidR="00030DA9" w:rsidRPr="00BA7B9F" w:rsidRDefault="00030DA9" w:rsidP="00030DA9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F0A3E">
        <w:rPr>
          <w:rFonts w:ascii="Times New Roman" w:hAnsi="Times New Roman" w:cs="Times New Roman"/>
          <w:sz w:val="24"/>
          <w:szCs w:val="24"/>
        </w:rPr>
        <w:t xml:space="preserve">The full diversity of a microarray </w:t>
      </w:r>
      <w:r w:rsidRPr="00772938">
        <w:rPr>
          <w:rFonts w:ascii="Times New Roman" w:hAnsi="Times New Roman" w:cs="Times New Roman"/>
          <w:sz w:val="24"/>
          <w:szCs w:val="24"/>
        </w:rPr>
        <w:t>of 2</w:t>
      </w:r>
      <w:r w:rsidRPr="00772938">
        <w:rPr>
          <w:rFonts w:ascii="Times New Roman" w:hAnsi="Times New Roman" w:cs="Times New Roman"/>
          <w:sz w:val="24"/>
          <w:szCs w:val="24"/>
          <w:vertAlign w:val="superscript"/>
        </w:rPr>
        <w:t>N</w:t>
      </w:r>
      <w:r w:rsidRPr="00772938">
        <w:rPr>
          <w:rFonts w:ascii="Times New Roman" w:hAnsi="Times New Roman" w:cs="Times New Roman"/>
          <w:sz w:val="24"/>
          <w:szCs w:val="24"/>
        </w:rPr>
        <w:t xml:space="preserve"> wells can be created using N different (orthogonal) states (</w:t>
      </w:r>
      <w:r w:rsidRPr="002931A3">
        <w:rPr>
          <w:rFonts w:ascii="Times New Roman" w:hAnsi="Times New Roman" w:cs="Times New Roman"/>
          <w:sz w:val="24"/>
          <w:szCs w:val="24"/>
        </w:rPr>
        <w:t>Additional fig</w:t>
      </w:r>
      <w:r w:rsidRPr="000C328E">
        <w:rPr>
          <w:rFonts w:ascii="Times New Roman" w:hAnsi="Times New Roman" w:cs="Times New Roman"/>
          <w:sz w:val="24"/>
          <w:szCs w:val="24"/>
        </w:rPr>
        <w:t>ure</w:t>
      </w:r>
      <w:r w:rsidRPr="002931A3">
        <w:rPr>
          <w:rFonts w:ascii="Times New Roman" w:hAnsi="Times New Roman" w:cs="Times New Roman"/>
          <w:sz w:val="24"/>
          <w:szCs w:val="24"/>
        </w:rPr>
        <w:t xml:space="preserve"> 10) [1]. Thus, 2</w:t>
      </w:r>
      <w:r w:rsidRPr="002931A3">
        <w:rPr>
          <w:rFonts w:ascii="Times New Roman" w:hAnsi="Times New Roman" w:cs="Times New Roman"/>
          <w:sz w:val="24"/>
          <w:szCs w:val="24"/>
          <w:vertAlign w:val="superscript"/>
        </w:rPr>
        <w:t>N</w:t>
      </w:r>
      <w:r w:rsidRPr="002931A3">
        <w:rPr>
          <w:rFonts w:ascii="Times New Roman" w:hAnsi="Times New Roman" w:cs="Times New Roman"/>
          <w:sz w:val="24"/>
          <w:szCs w:val="24"/>
        </w:rPr>
        <w:t xml:space="preserve"> states can be easily prepared using N’ sheets for packing (N/2 sheets are sufficient if we </w:t>
      </w:r>
      <w:r>
        <w:rPr>
          <w:rFonts w:ascii="Times New Roman" w:hAnsi="Times New Roman" w:cs="Times New Roman"/>
          <w:sz w:val="24"/>
          <w:szCs w:val="24"/>
        </w:rPr>
        <w:t>consider</w:t>
      </w:r>
      <w:r w:rsidRPr="002931A3">
        <w:rPr>
          <w:rFonts w:ascii="Times New Roman" w:hAnsi="Times New Roman" w:cs="Times New Roman"/>
          <w:sz w:val="24"/>
          <w:szCs w:val="24"/>
        </w:rPr>
        <w:t xml:space="preserve"> the symmetric relationship among the set of patterns). For instance, </w:t>
      </w:r>
      <w:r>
        <w:rPr>
          <w:rFonts w:ascii="Times New Roman" w:hAnsi="Times New Roman" w:cs="Times New Roman"/>
          <w:sz w:val="24"/>
          <w:szCs w:val="24"/>
        </w:rPr>
        <w:t>when</w:t>
      </w:r>
      <w:r w:rsidRPr="002931A3">
        <w:rPr>
          <w:rFonts w:ascii="Times New Roman" w:hAnsi="Times New Roman" w:cs="Times New Roman"/>
          <w:sz w:val="24"/>
          <w:szCs w:val="24"/>
        </w:rPr>
        <w:t xml:space="preserve"> N = 4, two sheets of packing are sufficient and each sheet can be used in two ways (one way and the other that is transverse to this position). As a result, all wells uniquely assigned by the binary number correspond to a mutually different state. For example, t</w:t>
      </w:r>
      <w:r w:rsidRPr="00AF0AC5">
        <w:rPr>
          <w:rFonts w:ascii="Times New Roman" w:hAnsi="Times New Roman" w:cs="Times New Roman"/>
          <w:sz w:val="24"/>
          <w:szCs w:val="24"/>
        </w:rPr>
        <w:t xml:space="preserve">he well assigned </w:t>
      </w:r>
      <w:r w:rsidRPr="008A7D93">
        <w:rPr>
          <w:rFonts w:ascii="Times New Roman" w:hAnsi="Times New Roman" w:cs="Times New Roman"/>
          <w:sz w:val="24"/>
          <w:szCs w:val="24"/>
        </w:rPr>
        <w:t xml:space="preserve">as 0000 contains none of the components, and the well assigned </w:t>
      </w:r>
      <w:r w:rsidRPr="00772938">
        <w:rPr>
          <w:rFonts w:ascii="Times New Roman" w:hAnsi="Times New Roman" w:cs="Times New Roman"/>
          <w:sz w:val="24"/>
          <w:szCs w:val="24"/>
        </w:rPr>
        <w:t xml:space="preserve">as 1111 contains </w:t>
      </w:r>
      <w:r w:rsidRPr="003E6737">
        <w:rPr>
          <w:rFonts w:ascii="Times New Roman" w:hAnsi="Times New Roman" w:cs="Times New Roman"/>
          <w:sz w:val="24"/>
          <w:szCs w:val="24"/>
        </w:rPr>
        <w:t xml:space="preserve">all of the components; similarly, the well assigned </w:t>
      </w:r>
      <w:r w:rsidRPr="00AF0AC5">
        <w:rPr>
          <w:rFonts w:ascii="Times New Roman" w:hAnsi="Times New Roman" w:cs="Times New Roman"/>
          <w:sz w:val="24"/>
          <w:szCs w:val="24"/>
        </w:rPr>
        <w:t xml:space="preserve">as </w:t>
      </w:r>
      <w:r w:rsidRPr="008A7D93">
        <w:rPr>
          <w:rFonts w:ascii="Times New Roman" w:hAnsi="Times New Roman" w:cs="Times New Roman"/>
          <w:sz w:val="24"/>
          <w:szCs w:val="24"/>
        </w:rPr>
        <w:t>1010 contains the components corresponding to components 1</w:t>
      </w:r>
      <w:r w:rsidRPr="00EF0A3E">
        <w:rPr>
          <w:rFonts w:ascii="Times New Roman" w:hAnsi="Times New Roman" w:cs="Times New Roman"/>
          <w:sz w:val="24"/>
          <w:szCs w:val="24"/>
        </w:rPr>
        <w:t xml:space="preserve"> and</w:t>
      </w:r>
      <w:r w:rsidR="008E4335">
        <w:rPr>
          <w:rFonts w:ascii="Times New Roman" w:hAnsi="Times New Roman" w:cs="Times New Roman"/>
          <w:sz w:val="24"/>
          <w:szCs w:val="24"/>
        </w:rPr>
        <w:t xml:space="preserve"> 3. Here, we can use a 1</w:t>
      </w:r>
      <w:r w:rsidRPr="00772938">
        <w:rPr>
          <w:rFonts w:ascii="Times New Roman" w:hAnsi="Times New Roman" w:cs="Times New Roman"/>
          <w:sz w:val="24"/>
          <w:szCs w:val="24"/>
        </w:rPr>
        <w:t>024-well micr</w:t>
      </w:r>
      <w:r w:rsidR="008E4335">
        <w:rPr>
          <w:rFonts w:ascii="Times New Roman" w:hAnsi="Times New Roman" w:cs="Times New Roman"/>
          <w:sz w:val="24"/>
          <w:szCs w:val="24"/>
        </w:rPr>
        <w:t>oarray (N = 10) for examining 1</w:t>
      </w:r>
      <w:r w:rsidRPr="00772938">
        <w:rPr>
          <w:rFonts w:ascii="Times New Roman" w:hAnsi="Times New Roman" w:cs="Times New Roman"/>
          <w:sz w:val="24"/>
          <w:szCs w:val="24"/>
        </w:rPr>
        <w:t>024 conditions on a sample plate.</w:t>
      </w:r>
    </w:p>
    <w:p w:rsidR="00030DA9" w:rsidRPr="00BA7B9F" w:rsidRDefault="00030DA9" w:rsidP="00030DA9">
      <w:pPr>
        <w:spacing w:line="480" w:lineRule="auto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030DA9" w:rsidRPr="00BA7B9F" w:rsidRDefault="00030DA9" w:rsidP="00030DA9">
      <w:pPr>
        <w:spacing w:line="48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BA7B9F">
        <w:rPr>
          <w:rFonts w:ascii="Times New Roman" w:hAnsi="Times New Roman" w:cs="Times New Roman"/>
          <w:b/>
          <w:sz w:val="24"/>
          <w:szCs w:val="24"/>
        </w:rPr>
        <w:t>Genome Profiling (GP)</w:t>
      </w:r>
    </w:p>
    <w:p w:rsidR="00030DA9" w:rsidRPr="00BA7B9F" w:rsidRDefault="00030DA9" w:rsidP="00030DA9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BA7B9F">
        <w:rPr>
          <w:rFonts w:ascii="Times New Roman" w:hAnsi="Times New Roman" w:cs="Times New Roman"/>
          <w:sz w:val="24"/>
          <w:szCs w:val="24"/>
        </w:rPr>
        <w:t>Genome profiling</w:t>
      </w:r>
      <w:r w:rsidRPr="00BA7B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C328E">
        <w:rPr>
          <w:rFonts w:ascii="Times New Roman" w:hAnsi="Times New Roman" w:cs="Times New Roman"/>
          <w:sz w:val="24"/>
          <w:szCs w:val="24"/>
        </w:rPr>
        <w:t>(</w:t>
      </w:r>
      <w:r w:rsidRPr="00BA7B9F">
        <w:rPr>
          <w:rFonts w:ascii="Times New Roman" w:hAnsi="Times New Roman" w:cs="Times New Roman"/>
          <w:sz w:val="24"/>
          <w:szCs w:val="24"/>
        </w:rPr>
        <w:t>GP) comprises three main steps (</w:t>
      </w:r>
      <w:r w:rsidRPr="00030DA9">
        <w:rPr>
          <w:rFonts w:ascii="Times New Roman" w:hAnsi="Times New Roman" w:cs="Times New Roman"/>
          <w:i/>
          <w:sz w:val="24"/>
          <w:szCs w:val="24"/>
        </w:rPr>
        <w:t>i</w:t>
      </w:r>
      <w:r w:rsidRPr="00BA7B9F">
        <w:rPr>
          <w:rFonts w:ascii="Times New Roman" w:hAnsi="Times New Roman" w:cs="Times New Roman"/>
          <w:sz w:val="24"/>
          <w:szCs w:val="24"/>
        </w:rPr>
        <w:t>) random PCR, (</w:t>
      </w:r>
      <w:r w:rsidRPr="00030DA9">
        <w:rPr>
          <w:rFonts w:ascii="Times New Roman" w:hAnsi="Times New Roman" w:cs="Times New Roman"/>
          <w:i/>
          <w:sz w:val="24"/>
          <w:szCs w:val="24"/>
        </w:rPr>
        <w:t>ii</w:t>
      </w:r>
      <w:r w:rsidRPr="00BA7B9F">
        <w:rPr>
          <w:rFonts w:ascii="Times New Roman" w:hAnsi="Times New Roman" w:cs="Times New Roman"/>
          <w:sz w:val="24"/>
          <w:szCs w:val="24"/>
        </w:rPr>
        <w:t>) micro-temperature gradient gel electrophoresis</w:t>
      </w:r>
      <w:r w:rsidRPr="00BA7B9F">
        <w:rPr>
          <w:rFonts w:ascii="Times New Roman" w:eastAsia="MS Mincho" w:hAnsi="Times New Roman" w:cs="Times New Roman"/>
          <w:sz w:val="24"/>
          <w:szCs w:val="24"/>
        </w:rPr>
        <w:t xml:space="preserve"> (µ</w:t>
      </w:r>
      <w:r w:rsidRPr="00BA7B9F">
        <w:rPr>
          <w:rFonts w:ascii="Times New Roman" w:hAnsi="Times New Roman" w:cs="Times New Roman"/>
          <w:sz w:val="24"/>
          <w:szCs w:val="24"/>
        </w:rPr>
        <w:t>TGGE), and (</w:t>
      </w:r>
      <w:r w:rsidRPr="00030DA9">
        <w:rPr>
          <w:rFonts w:ascii="Times New Roman" w:hAnsi="Times New Roman" w:cs="Times New Roman"/>
          <w:i/>
          <w:sz w:val="24"/>
          <w:szCs w:val="24"/>
        </w:rPr>
        <w:t>iii</w:t>
      </w:r>
      <w:r w:rsidRPr="00BA7B9F">
        <w:rPr>
          <w:rFonts w:ascii="Times New Roman" w:hAnsi="Times New Roman" w:cs="Times New Roman"/>
          <w:sz w:val="24"/>
          <w:szCs w:val="24"/>
        </w:rPr>
        <w:t>) computer-aided normalization [2]. Random PCR involves mismatch- or bulge-containing primer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BA7B9F">
        <w:rPr>
          <w:rFonts w:ascii="Times New Roman" w:hAnsi="Times New Roman" w:cs="Times New Roman"/>
          <w:sz w:val="24"/>
          <w:szCs w:val="24"/>
        </w:rPr>
        <w:lastRenderedPageBreak/>
        <w:t xml:space="preserve">template hybrid structures and leads to random sampling of the whole genomic DNA. In GP, random PCR products are processed using </w:t>
      </w:r>
      <w:r w:rsidRPr="00BA7B9F">
        <w:rPr>
          <w:rFonts w:ascii="Times New Roman" w:eastAsia="MS Mincho" w:hAnsi="Times New Roman" w:cs="Times New Roman"/>
          <w:sz w:val="24"/>
          <w:szCs w:val="24"/>
        </w:rPr>
        <w:t>µ</w:t>
      </w:r>
      <w:r w:rsidRPr="00BA7B9F">
        <w:rPr>
          <w:rFonts w:ascii="Times New Roman" w:hAnsi="Times New Roman" w:cs="Times New Roman"/>
          <w:sz w:val="24"/>
          <w:szCs w:val="24"/>
        </w:rPr>
        <w:t xml:space="preserve">TGGE analysis, which produces a sequence-specific DNA melting profile for each </w:t>
      </w:r>
      <w:r w:rsidRPr="00AF0AC5">
        <w:rPr>
          <w:rFonts w:ascii="Times New Roman" w:hAnsi="Times New Roman" w:cs="Times New Roman"/>
          <w:sz w:val="24"/>
          <w:szCs w:val="24"/>
        </w:rPr>
        <w:t>sample (</w:t>
      </w:r>
      <w:r w:rsidRPr="000C328E">
        <w:rPr>
          <w:rFonts w:ascii="Times New Roman" w:hAnsi="Times New Roman" w:cs="Times New Roman"/>
          <w:sz w:val="24"/>
          <w:szCs w:val="24"/>
        </w:rPr>
        <w:t>Figure</w:t>
      </w:r>
      <w:r w:rsidRPr="00AF0AC5">
        <w:rPr>
          <w:rFonts w:ascii="Times New Roman" w:hAnsi="Times New Roman" w:cs="Times New Roman"/>
          <w:sz w:val="24"/>
          <w:szCs w:val="24"/>
        </w:rPr>
        <w:t xml:space="preserve"> 4a). The first transition point in each DNA band, denoted as a “feature point,” is processed to generate </w:t>
      </w:r>
      <w:r w:rsidRPr="00EF0A3E">
        <w:rPr>
          <w:rFonts w:ascii="Times New Roman" w:hAnsi="Times New Roman" w:cs="Times New Roman"/>
          <w:i/>
          <w:sz w:val="24"/>
          <w:szCs w:val="24"/>
        </w:rPr>
        <w:t>spiddos</w:t>
      </w:r>
      <w:r w:rsidRPr="00393058">
        <w:rPr>
          <w:rFonts w:ascii="Times New Roman" w:hAnsi="Times New Roman" w:cs="Times New Roman"/>
          <w:sz w:val="24"/>
          <w:szCs w:val="24"/>
        </w:rPr>
        <w:t xml:space="preserve"> (species identification dots) with the aid of a computer utilizing internal references. The coordinates of </w:t>
      </w:r>
      <w:r w:rsidRPr="00393058">
        <w:rPr>
          <w:rFonts w:ascii="Times New Roman" w:hAnsi="Times New Roman" w:cs="Times New Roman"/>
          <w:i/>
          <w:sz w:val="24"/>
          <w:szCs w:val="24"/>
        </w:rPr>
        <w:t>spiddos</w:t>
      </w:r>
      <w:r w:rsidRPr="00393058">
        <w:rPr>
          <w:rFonts w:ascii="Times New Roman" w:hAnsi="Times New Roman" w:cs="Times New Roman"/>
          <w:sz w:val="24"/>
          <w:szCs w:val="24"/>
        </w:rPr>
        <w:t xml:space="preserve"> are specific to each genome and correspond to two factors, temperature and mobility, whose values are dependent on both the sequence of the primer and that of the template. </w:t>
      </w:r>
      <w:r>
        <w:rPr>
          <w:rFonts w:ascii="Times New Roman" w:hAnsi="Times New Roman" w:cs="Times New Roman"/>
          <w:sz w:val="24"/>
          <w:szCs w:val="24"/>
        </w:rPr>
        <w:t xml:space="preserve">In addition, </w:t>
      </w:r>
      <w:r>
        <w:rPr>
          <w:rFonts w:ascii="Times New Roman" w:hAnsi="Times New Roman" w:cs="Times New Roman"/>
          <w:i/>
          <w:sz w:val="24"/>
          <w:szCs w:val="24"/>
        </w:rPr>
        <w:t>s</w:t>
      </w:r>
      <w:r w:rsidRPr="00AF0AC5">
        <w:rPr>
          <w:rFonts w:ascii="Times New Roman" w:hAnsi="Times New Roman" w:cs="Times New Roman"/>
          <w:i/>
          <w:sz w:val="24"/>
          <w:szCs w:val="24"/>
        </w:rPr>
        <w:t>piddos</w:t>
      </w:r>
      <w:r w:rsidRPr="00AF0AC5">
        <w:rPr>
          <w:rFonts w:ascii="Times New Roman" w:hAnsi="Times New Roman" w:cs="Times New Roman"/>
          <w:sz w:val="24"/>
          <w:szCs w:val="24"/>
        </w:rPr>
        <w:t xml:space="preserve"> can be used to provide an amount of information suffic</w:t>
      </w:r>
      <w:r w:rsidRPr="00EF0A3E">
        <w:rPr>
          <w:rFonts w:ascii="Times New Roman" w:hAnsi="Times New Roman" w:cs="Times New Roman"/>
          <w:sz w:val="24"/>
          <w:szCs w:val="24"/>
        </w:rPr>
        <w:t xml:space="preserve">ient for species identification [3]. The patterns of </w:t>
      </w:r>
      <w:r w:rsidRPr="00393058">
        <w:rPr>
          <w:rFonts w:ascii="Times New Roman" w:hAnsi="Times New Roman" w:cs="Times New Roman"/>
          <w:i/>
          <w:sz w:val="24"/>
          <w:szCs w:val="24"/>
        </w:rPr>
        <w:t>spiddos</w:t>
      </w:r>
      <w:r w:rsidRPr="00393058">
        <w:rPr>
          <w:rFonts w:ascii="Times New Roman" w:hAnsi="Times New Roman" w:cs="Times New Roman"/>
          <w:sz w:val="24"/>
          <w:szCs w:val="24"/>
        </w:rPr>
        <w:t xml:space="preserve"> of two </w:t>
      </w:r>
      <w:r w:rsidRPr="00AF0AC5">
        <w:rPr>
          <w:rFonts w:ascii="Times New Roman" w:hAnsi="Times New Roman" w:cs="Times New Roman"/>
          <w:sz w:val="24"/>
          <w:szCs w:val="24"/>
        </w:rPr>
        <w:t>genomes are compared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F0AC5">
        <w:rPr>
          <w:rFonts w:ascii="Times New Roman" w:hAnsi="Times New Roman" w:cs="Times New Roman"/>
          <w:sz w:val="24"/>
          <w:szCs w:val="24"/>
        </w:rPr>
        <w:t xml:space="preserve"> and</w:t>
      </w:r>
      <w:r>
        <w:rPr>
          <w:rFonts w:ascii="Times New Roman" w:hAnsi="Times New Roman" w:cs="Times New Roman"/>
          <w:sz w:val="24"/>
          <w:szCs w:val="24"/>
        </w:rPr>
        <w:t xml:space="preserve"> it</w:t>
      </w:r>
      <w:r w:rsidRPr="00AF0AC5">
        <w:rPr>
          <w:rFonts w:ascii="Times New Roman" w:hAnsi="Times New Roman" w:cs="Times New Roman"/>
          <w:sz w:val="24"/>
          <w:szCs w:val="24"/>
        </w:rPr>
        <w:t xml:space="preserve"> provide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AF0AC5">
        <w:rPr>
          <w:rFonts w:ascii="Times New Roman" w:hAnsi="Times New Roman" w:cs="Times New Roman"/>
          <w:sz w:val="24"/>
          <w:szCs w:val="24"/>
        </w:rPr>
        <w:t xml:space="preserve"> a </w:t>
      </w:r>
      <w:r w:rsidRPr="00AF0AC5">
        <w:rPr>
          <w:rFonts w:ascii="Times New Roman" w:hAnsi="Times New Roman" w:cs="Times New Roman"/>
          <w:i/>
          <w:sz w:val="24"/>
          <w:szCs w:val="24"/>
        </w:rPr>
        <w:t>PaSS</w:t>
      </w:r>
      <w:r w:rsidRPr="00AF0AC5">
        <w:rPr>
          <w:rFonts w:ascii="Times New Roman" w:hAnsi="Times New Roman" w:cs="Times New Roman"/>
          <w:sz w:val="24"/>
          <w:szCs w:val="24"/>
        </w:rPr>
        <w:t xml:space="preserve"> (pattern similarity score) value. A measure of genome distance </w:t>
      </w:r>
      <w:r w:rsidRPr="00AF0AC5">
        <w:rPr>
          <w:rFonts w:ascii="Times New Roman" w:hAnsi="Times New Roman" w:cs="Times New Roman"/>
          <w:i/>
          <w:sz w:val="24"/>
          <w:szCs w:val="24"/>
        </w:rPr>
        <w:t>d</w:t>
      </w:r>
      <w:r w:rsidRPr="00AF0AC5">
        <w:rPr>
          <w:rFonts w:ascii="Times New Roman" w:hAnsi="Times New Roman" w:cs="Times New Roman"/>
          <w:i/>
          <w:sz w:val="24"/>
          <w:szCs w:val="24"/>
          <w:vertAlign w:val="subscript"/>
        </w:rPr>
        <w:t>G</w:t>
      </w:r>
      <w:r w:rsidRPr="00AF0AC5">
        <w:rPr>
          <w:rFonts w:ascii="Times New Roman" w:hAnsi="Times New Roman" w:cs="Times New Roman"/>
          <w:sz w:val="24"/>
          <w:szCs w:val="24"/>
        </w:rPr>
        <w:t xml:space="preserve"> can be calculated using the following</w:t>
      </w:r>
      <w:r w:rsidRPr="00BA7B9F">
        <w:rPr>
          <w:rFonts w:ascii="Times New Roman" w:hAnsi="Times New Roman" w:cs="Times New Roman"/>
          <w:sz w:val="24"/>
          <w:szCs w:val="24"/>
        </w:rPr>
        <w:t xml:space="preserve"> formula:</w:t>
      </w:r>
    </w:p>
    <w:p w:rsidR="00030DA9" w:rsidRPr="00BA7B9F" w:rsidRDefault="00030DA9" w:rsidP="00030DA9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PaSS</m:t>
          </m:r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= 1-</m:t>
          </m:r>
          <m:f>
            <m:f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n</m:t>
              </m:r>
            </m:den>
          </m:f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naryPr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i=1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n</m:t>
              </m:r>
            </m:sup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d>
                    <m:dPr>
                      <m:begChr m:val="|"/>
                      <m:endChr m:val="|"/>
                      <m:ctrlPr>
                        <w:rPr>
                          <w:rFonts w:ascii="Cambria Math" w:eastAsia="Arial Unicode MS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eastAsia="Arial Unicode MS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sSub>
                            <m:sSubPr>
                              <m:ctrlPr>
                                <w:rPr>
                                  <w:rFonts w:ascii="Cambria Math" w:eastAsia="Arial Unicode MS" w:hAnsi="Cambria Math" w:cs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acc>
                                <m:accPr>
                                  <m:chr m:val="⃑"/>
                                  <m:ctrlPr>
                                    <w:rPr>
                                      <w:rFonts w:ascii="Cambria Math" w:eastAsia="Arial Unicode MS" w:hAnsi="Cambria Math" w:cs="Times New Roman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eastAsia="Arial Unicode MS" w:hAnsi="Cambria Math" w:cs="Times New Roman"/>
                                      <w:sz w:val="24"/>
                                      <w:szCs w:val="24"/>
                                    </w:rPr>
                                    <m:t>P</m:t>
                                  </m:r>
                                </m:e>
                              </m:acc>
                            </m:e>
                            <m:sub>
                              <m:r>
                                <w:rPr>
                                  <w:rFonts w:ascii="Cambria Math" w:eastAsia="Arial Unicode MS" w:hAnsi="Cambria Math" w:cs="Times New Roman"/>
                                  <w:sz w:val="24"/>
                                  <w:szCs w:val="24"/>
                                </w:rPr>
                                <m:t>i</m:t>
                              </m:r>
                            </m:sub>
                          </m:sSub>
                        </m:e>
                        <m:sup>
                          <m:r>
                            <w:rPr>
                              <w:rFonts w:ascii="Cambria Math" w:eastAsia="Arial Unicode MS" w:hAnsi="Cambria Math" w:cs="Times New Roman"/>
                              <w:sz w:val="24"/>
                              <w:szCs w:val="24"/>
                            </w:rPr>
                            <m:t>(1)</m:t>
                          </m:r>
                        </m:sup>
                      </m:sSup>
                      <m:r>
                        <w:rPr>
                          <w:rFonts w:ascii="Cambria Math" w:eastAsia="Arial Unicode MS" w:hAnsi="Cambria Math" w:cs="Times New Roman"/>
                          <w:sz w:val="24"/>
                          <w:szCs w:val="24"/>
                        </w:rPr>
                        <m:t xml:space="preserve">- </m:t>
                      </m:r>
                      <m:sSup>
                        <m:sSupPr>
                          <m:ctrlPr>
                            <w:rPr>
                              <w:rFonts w:ascii="Cambria Math" w:eastAsia="Arial Unicode MS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sSub>
                            <m:sSubPr>
                              <m:ctrlPr>
                                <w:rPr>
                                  <w:rFonts w:ascii="Cambria Math" w:eastAsia="Arial Unicode MS" w:hAnsi="Cambria Math" w:cs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acc>
                                <m:accPr>
                                  <m:chr m:val="⃑"/>
                                  <m:ctrlPr>
                                    <w:rPr>
                                      <w:rFonts w:ascii="Cambria Math" w:eastAsia="Arial Unicode MS" w:hAnsi="Cambria Math" w:cs="Times New Roman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eastAsia="Arial Unicode MS" w:hAnsi="Cambria Math" w:cs="Times New Roman"/>
                                      <w:sz w:val="24"/>
                                      <w:szCs w:val="24"/>
                                    </w:rPr>
                                    <m:t>P</m:t>
                                  </m:r>
                                </m:e>
                              </m:acc>
                            </m:e>
                            <m:sub>
                              <m:r>
                                <w:rPr>
                                  <w:rFonts w:ascii="Cambria Math" w:eastAsia="Arial Unicode MS" w:hAnsi="Cambria Math" w:cs="Times New Roman"/>
                                  <w:sz w:val="24"/>
                                  <w:szCs w:val="24"/>
                                </w:rPr>
                                <m:t>i</m:t>
                              </m:r>
                            </m:sub>
                          </m:sSub>
                        </m:e>
                        <m:sup>
                          <m:r>
                            <w:rPr>
                              <w:rFonts w:ascii="Cambria Math" w:eastAsia="Arial Unicode MS" w:hAnsi="Cambria Math" w:cs="Times New Roman"/>
                              <w:sz w:val="24"/>
                              <w:szCs w:val="24"/>
                            </w:rPr>
                            <m:t>(2)</m:t>
                          </m:r>
                        </m:sup>
                      </m:sSup>
                    </m:e>
                  </m:d>
                </m:num>
                <m:den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eastAsia="Arial Unicode MS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sSub>
                            <m:sSubPr>
                              <m:ctrlPr>
                                <w:rPr>
                                  <w:rFonts w:ascii="Cambria Math" w:eastAsia="Arial Unicode MS" w:hAnsi="Cambria Math" w:cs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acc>
                                <m:accPr>
                                  <m:chr m:val="⃑"/>
                                  <m:ctrlPr>
                                    <w:rPr>
                                      <w:rFonts w:ascii="Cambria Math" w:eastAsia="Arial Unicode MS" w:hAnsi="Cambria Math" w:cs="Times New Roman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eastAsia="Arial Unicode MS" w:hAnsi="Cambria Math" w:cs="Times New Roman"/>
                                      <w:sz w:val="24"/>
                                      <w:szCs w:val="24"/>
                                    </w:rPr>
                                    <m:t>P</m:t>
                                  </m:r>
                                </m:e>
                              </m:acc>
                            </m:e>
                            <m:sub>
                              <m:r>
                                <w:rPr>
                                  <w:rFonts w:ascii="Cambria Math" w:eastAsia="Arial Unicode MS" w:hAnsi="Cambria Math" w:cs="Times New Roman"/>
                                  <w:sz w:val="24"/>
                                  <w:szCs w:val="24"/>
                                </w:rPr>
                                <m:t>i</m:t>
                              </m:r>
                            </m:sub>
                          </m:sSub>
                        </m:e>
                        <m:sup>
                          <m:r>
                            <w:rPr>
                              <w:rFonts w:ascii="Cambria Math" w:eastAsia="Arial Unicode MS" w:hAnsi="Cambria Math" w:cs="Times New Roman"/>
                              <w:sz w:val="24"/>
                              <w:szCs w:val="24"/>
                            </w:rPr>
                            <m:t>(1)</m:t>
                          </m:r>
                        </m:sup>
                      </m:sSup>
                    </m:e>
                  </m:d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+</m:t>
                  </m:r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eastAsia="Arial Unicode MS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sSub>
                            <m:sSubPr>
                              <m:ctrlPr>
                                <w:rPr>
                                  <w:rFonts w:ascii="Cambria Math" w:eastAsia="Arial Unicode MS" w:hAnsi="Cambria Math" w:cs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acc>
                                <m:accPr>
                                  <m:chr m:val="⃑"/>
                                  <m:ctrlPr>
                                    <w:rPr>
                                      <w:rFonts w:ascii="Cambria Math" w:eastAsia="Arial Unicode MS" w:hAnsi="Cambria Math" w:cs="Times New Roman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eastAsia="Arial Unicode MS" w:hAnsi="Cambria Math" w:cs="Times New Roman"/>
                                      <w:sz w:val="24"/>
                                      <w:szCs w:val="24"/>
                                    </w:rPr>
                                    <m:t>P</m:t>
                                  </m:r>
                                </m:e>
                              </m:acc>
                            </m:e>
                            <m:sub>
                              <m:r>
                                <w:rPr>
                                  <w:rFonts w:ascii="Cambria Math" w:eastAsia="Arial Unicode MS" w:hAnsi="Cambria Math" w:cs="Times New Roman"/>
                                  <w:sz w:val="24"/>
                                  <w:szCs w:val="24"/>
                                </w:rPr>
                                <m:t>i</m:t>
                              </m:r>
                            </m:sub>
                          </m:sSub>
                        </m:e>
                        <m:sup>
                          <m:r>
                            <w:rPr>
                              <w:rFonts w:ascii="Cambria Math" w:eastAsia="Arial Unicode MS" w:hAnsi="Cambria Math" w:cs="Times New Roman"/>
                              <w:sz w:val="24"/>
                              <w:szCs w:val="24"/>
                            </w:rPr>
                            <m:t>(2)</m:t>
                          </m:r>
                        </m:sup>
                      </m:sSup>
                    </m:e>
                  </m:d>
                </m:den>
              </m:f>
            </m:e>
          </m:nary>
        </m:oMath>
      </m:oMathPara>
    </w:p>
    <w:p w:rsidR="00030DA9" w:rsidRPr="00BA7B9F" w:rsidRDefault="00030DA9" w:rsidP="00030DA9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030DA9" w:rsidRPr="00BA7B9F" w:rsidRDefault="00BE2B0F" w:rsidP="00030DA9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eastAsia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Cambria Math" w:hAnsi="Cambria Math" w:cs="Times New Roman"/>
                  <w:sz w:val="24"/>
                  <w:szCs w:val="24"/>
                </w:rPr>
                <m:t>d</m:t>
              </m:r>
            </m:e>
            <m:sub>
              <m:r>
                <w:rPr>
                  <w:rFonts w:ascii="Cambria Math" w:eastAsia="Cambria Math" w:hAnsi="Cambria Math" w:cs="Times New Roman"/>
                  <w:sz w:val="24"/>
                  <w:szCs w:val="24"/>
                </w:rPr>
                <m:t>G</m:t>
              </m:r>
            </m:sub>
          </m:sSub>
          <m:r>
            <w:rPr>
              <w:rFonts w:ascii="Cambria Math" w:eastAsia="Cambria Math" w:hAnsi="Cambria Math" w:cs="Times New Roman"/>
              <w:sz w:val="24"/>
              <w:szCs w:val="24"/>
            </w:rPr>
            <m:t>=1-PaSS</m:t>
          </m:r>
        </m:oMath>
      </m:oMathPara>
    </w:p>
    <w:p w:rsidR="00030DA9" w:rsidRPr="00BA7B9F" w:rsidRDefault="00030DA9" w:rsidP="00030DA9">
      <w:pPr>
        <w:spacing w:line="48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BA7B9F">
        <w:rPr>
          <w:rFonts w:ascii="Times New Roman" w:hAnsi="Times New Roman" w:cs="Times New Roman"/>
          <w:sz w:val="24"/>
          <w:szCs w:val="24"/>
        </w:rPr>
        <w:t xml:space="preserve">Here, </w:t>
      </w:r>
      <m:oMath>
        <m:sSup>
          <m:sSupPr>
            <m:ctrlPr>
              <w:rPr>
                <w:rFonts w:ascii="Cambria Math" w:eastAsia="Arial Unicode MS" w:hAnsi="Cambria Math" w:cs="Times New Roman"/>
                <w:i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eastAsia="Arial Unicode MS" w:hAnsi="Cambria Math" w:cs="Times New Roman"/>
                    <w:i/>
                    <w:sz w:val="24"/>
                    <w:szCs w:val="24"/>
                  </w:rPr>
                </m:ctrlPr>
              </m:sSubPr>
              <m:e>
                <m:acc>
                  <m:accPr>
                    <m:chr m:val="⃑"/>
                    <m:ctrlPr>
                      <w:rPr>
                        <w:rFonts w:ascii="Cambria Math" w:eastAsia="Arial Unicode MS" w:hAnsi="Cambria Math" w:cs="Times New Roman"/>
                        <w:i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eastAsia="Arial Unicode MS" w:hAnsi="Cambria Math" w:cs="Times New Roman"/>
                        <w:sz w:val="24"/>
                        <w:szCs w:val="24"/>
                      </w:rPr>
                      <m:t>P</m:t>
                    </m:r>
                  </m:e>
                </m:acc>
              </m:e>
              <m:sub>
                <m:r>
                  <w:rPr>
                    <w:rFonts w:ascii="Cambria Math" w:eastAsia="Arial Unicode MS" w:hAnsi="Cambria Math" w:cs="Times New Roman"/>
                    <w:sz w:val="24"/>
                    <w:szCs w:val="24"/>
                  </w:rPr>
                  <m:t>i</m:t>
                </m:r>
              </m:sub>
            </m:sSub>
          </m:e>
          <m:sup>
            <m:r>
              <w:rPr>
                <w:rFonts w:ascii="Cambria Math" w:eastAsia="Arial Unicode MS" w:hAnsi="Cambria Math" w:cs="Times New Roman"/>
                <w:sz w:val="24"/>
                <w:szCs w:val="24"/>
              </w:rPr>
              <m:t>(1)</m:t>
            </m:r>
          </m:sup>
        </m:sSup>
      </m:oMath>
      <w:r w:rsidRPr="00BA7B9F">
        <w:rPr>
          <w:rFonts w:ascii="Times New Roman" w:hAnsi="Times New Roman" w:cs="Times New Roman"/>
          <w:sz w:val="24"/>
          <w:szCs w:val="24"/>
        </w:rPr>
        <w:t xml:space="preserve"> and </w:t>
      </w:r>
      <m:oMath>
        <m:sSup>
          <m:sSupPr>
            <m:ctrlPr>
              <w:rPr>
                <w:rFonts w:ascii="Cambria Math" w:eastAsia="Arial Unicode MS" w:hAnsi="Cambria Math" w:cs="Times New Roman"/>
                <w:i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eastAsia="Arial Unicode MS" w:hAnsi="Cambria Math" w:cs="Times New Roman"/>
                    <w:i/>
                    <w:sz w:val="24"/>
                    <w:szCs w:val="24"/>
                  </w:rPr>
                </m:ctrlPr>
              </m:sSubPr>
              <m:e>
                <m:acc>
                  <m:accPr>
                    <m:chr m:val="⃑"/>
                    <m:ctrlPr>
                      <w:rPr>
                        <w:rFonts w:ascii="Cambria Math" w:eastAsia="Arial Unicode MS" w:hAnsi="Cambria Math" w:cs="Times New Roman"/>
                        <w:i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eastAsia="Arial Unicode MS" w:hAnsi="Cambria Math" w:cs="Times New Roman"/>
                        <w:sz w:val="24"/>
                        <w:szCs w:val="24"/>
                      </w:rPr>
                      <m:t>P</m:t>
                    </m:r>
                  </m:e>
                </m:acc>
              </m:e>
              <m:sub>
                <m:r>
                  <w:rPr>
                    <w:rFonts w:ascii="Cambria Math" w:eastAsia="Arial Unicode MS" w:hAnsi="Cambria Math" w:cs="Times New Roman"/>
                    <w:sz w:val="24"/>
                    <w:szCs w:val="24"/>
                  </w:rPr>
                  <m:t>i</m:t>
                </m:r>
              </m:sub>
            </m:sSub>
          </m:e>
          <m:sup>
            <m:r>
              <w:rPr>
                <w:rFonts w:ascii="Cambria Math" w:eastAsia="Arial Unicode MS" w:hAnsi="Cambria Math" w:cs="Times New Roman"/>
                <w:sz w:val="24"/>
                <w:szCs w:val="24"/>
              </w:rPr>
              <m:t>(2)</m:t>
            </m:r>
          </m:sup>
        </m:sSup>
      </m:oMath>
      <w:r w:rsidRPr="00BA7B9F">
        <w:rPr>
          <w:rFonts w:ascii="Times New Roman" w:hAnsi="Times New Roman" w:cs="Times New Roman"/>
          <w:sz w:val="24"/>
          <w:szCs w:val="24"/>
        </w:rPr>
        <w:t xml:space="preserve"> represent the normalized positional vectors (function of temperature and mobility) for </w:t>
      </w:r>
      <w:r w:rsidRPr="00BA7B9F">
        <w:rPr>
          <w:rFonts w:ascii="Times New Roman" w:hAnsi="Times New Roman" w:cs="Times New Roman"/>
          <w:i/>
          <w:sz w:val="24"/>
          <w:szCs w:val="24"/>
        </w:rPr>
        <w:t>spiddos</w:t>
      </w:r>
      <w:r w:rsidRPr="00BA7B9F">
        <w:rPr>
          <w:rFonts w:ascii="Times New Roman" w:hAnsi="Times New Roman" w:cs="Times New Roman"/>
          <w:sz w:val="24"/>
          <w:szCs w:val="24"/>
        </w:rPr>
        <w:t xml:space="preserve"> </w:t>
      </w:r>
      <m:oMath>
        <m:sSup>
          <m:sSupPr>
            <m:ctrlPr>
              <w:rPr>
                <w:rFonts w:ascii="Cambria Math" w:eastAsia="Arial Unicode MS" w:hAnsi="Cambria Math" w:cs="Times New Roman"/>
                <w:i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eastAsia="Arial Unicode MS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Arial Unicode MS" w:hAnsi="Cambria Math" w:cs="Times New Roman"/>
                    <w:sz w:val="24"/>
                    <w:szCs w:val="24"/>
                  </w:rPr>
                  <m:t>P</m:t>
                </m:r>
              </m:e>
              <m:sub>
                <m:r>
                  <w:rPr>
                    <w:rFonts w:ascii="Cambria Math" w:eastAsia="Arial Unicode MS" w:hAnsi="Cambria Math" w:cs="Times New Roman"/>
                    <w:sz w:val="24"/>
                    <w:szCs w:val="24"/>
                  </w:rPr>
                  <m:t>i</m:t>
                </m:r>
              </m:sub>
            </m:sSub>
          </m:e>
          <m:sup>
            <m:r>
              <w:rPr>
                <w:rFonts w:ascii="Cambria Math" w:eastAsia="Arial Unicode MS" w:hAnsi="Cambria Math" w:cs="Times New Roman"/>
                <w:sz w:val="24"/>
                <w:szCs w:val="24"/>
              </w:rPr>
              <m:t>(1)</m:t>
            </m:r>
          </m:sup>
        </m:sSup>
      </m:oMath>
      <w:r w:rsidRPr="00BA7B9F">
        <w:rPr>
          <w:rFonts w:ascii="Times New Roman" w:hAnsi="Times New Roman" w:cs="Times New Roman"/>
          <w:sz w:val="24"/>
          <w:szCs w:val="24"/>
        </w:rPr>
        <w:t xml:space="preserve"> and </w:t>
      </w:r>
      <m:oMath>
        <m:sSup>
          <m:sSupPr>
            <m:ctrlPr>
              <w:rPr>
                <w:rFonts w:ascii="Cambria Math" w:eastAsia="Arial Unicode MS" w:hAnsi="Cambria Math" w:cs="Times New Roman"/>
                <w:i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eastAsia="Arial Unicode MS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Arial Unicode MS" w:hAnsi="Cambria Math" w:cs="Times New Roman"/>
                    <w:sz w:val="24"/>
                    <w:szCs w:val="24"/>
                  </w:rPr>
                  <m:t>P</m:t>
                </m:r>
              </m:e>
              <m:sub>
                <m:r>
                  <w:rPr>
                    <w:rFonts w:ascii="Cambria Math" w:eastAsia="Arial Unicode MS" w:hAnsi="Cambria Math" w:cs="Times New Roman"/>
                    <w:sz w:val="24"/>
                    <w:szCs w:val="24"/>
                  </w:rPr>
                  <m:t>i</m:t>
                </m:r>
              </m:sub>
            </m:sSub>
          </m:e>
          <m:sup>
            <m:r>
              <w:rPr>
                <w:rFonts w:ascii="Cambria Math" w:eastAsia="Arial Unicode MS" w:hAnsi="Cambria Math" w:cs="Times New Roman"/>
                <w:sz w:val="24"/>
                <w:szCs w:val="24"/>
              </w:rPr>
              <m:t>(2)</m:t>
            </m:r>
          </m:sup>
        </m:sSup>
      </m:oMath>
      <w:r w:rsidRPr="00BA7B9F">
        <w:rPr>
          <w:rFonts w:ascii="Times New Roman" w:hAnsi="Times New Roman" w:cs="Times New Roman"/>
          <w:sz w:val="24"/>
          <w:szCs w:val="24"/>
        </w:rPr>
        <w:t xml:space="preserve"> from genome (1) and genome (2), respectively, while </w:t>
      </w:r>
      <m:oMath>
        <m:r>
          <w:rPr>
            <w:rFonts w:ascii="Cambria Math" w:hAnsi="Cambria Math" w:cs="Times New Roman"/>
            <w:sz w:val="24"/>
            <w:szCs w:val="24"/>
          </w:rPr>
          <m:t>i</m:t>
        </m:r>
      </m:oMath>
      <w:r w:rsidRPr="00BA7B9F">
        <w:rPr>
          <w:rFonts w:ascii="Times New Roman" w:hAnsi="Times New Roman" w:cs="Times New Roman"/>
          <w:sz w:val="24"/>
          <w:szCs w:val="24"/>
        </w:rPr>
        <w:t xml:space="preserve"> designates the serial number of </w:t>
      </w:r>
      <w:r w:rsidRPr="00BA7B9F">
        <w:rPr>
          <w:rFonts w:ascii="Times New Roman" w:hAnsi="Times New Roman" w:cs="Times New Roman"/>
          <w:i/>
          <w:sz w:val="24"/>
          <w:szCs w:val="24"/>
        </w:rPr>
        <w:t>spiddos</w:t>
      </w:r>
      <w:r w:rsidRPr="00BA7B9F">
        <w:rPr>
          <w:rFonts w:ascii="Times New Roman" w:hAnsi="Times New Roman" w:cs="Times New Roman"/>
          <w:sz w:val="24"/>
          <w:szCs w:val="24"/>
        </w:rPr>
        <w:t xml:space="preserve">. </w:t>
      </w:r>
      <w:r w:rsidRPr="00BA7B9F">
        <w:rPr>
          <w:rFonts w:ascii="Times New Roman" w:hAnsi="Times New Roman" w:cs="Times New Roman"/>
          <w:i/>
          <w:sz w:val="24"/>
          <w:szCs w:val="24"/>
        </w:rPr>
        <w:t>PaSS</w:t>
      </w:r>
      <w:r w:rsidRPr="00BA7B9F">
        <w:rPr>
          <w:rFonts w:ascii="Times New Roman" w:hAnsi="Times New Roman" w:cs="Times New Roman"/>
          <w:sz w:val="24"/>
          <w:szCs w:val="24"/>
        </w:rPr>
        <w:t xml:space="preserve"> is 1 for a complete match in two sets of </w:t>
      </w:r>
      <w:r w:rsidRPr="00BA7B9F">
        <w:rPr>
          <w:rFonts w:ascii="Times New Roman" w:hAnsi="Times New Roman" w:cs="Times New Roman"/>
          <w:i/>
          <w:sz w:val="24"/>
          <w:szCs w:val="24"/>
        </w:rPr>
        <w:t>spiddos</w:t>
      </w:r>
      <w:r w:rsidRPr="00BA7B9F">
        <w:rPr>
          <w:rFonts w:ascii="Times New Roman" w:hAnsi="Times New Roman" w:cs="Times New Roman"/>
          <w:sz w:val="24"/>
          <w:szCs w:val="24"/>
        </w:rPr>
        <w:t>. In general,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 0≤</m:t>
        </m:r>
        <m:r>
          <w:rPr>
            <w:rFonts w:ascii="Cambria Math" w:hAnsi="Cambria Math" w:cs="Times New Roman"/>
            <w:sz w:val="24"/>
            <w:szCs w:val="24"/>
          </w:rPr>
          <m:t>PaSS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≤1</m:t>
        </m:r>
      </m:oMath>
      <w:r w:rsidRPr="00BA7B9F">
        <w:rPr>
          <w:rFonts w:ascii="Times New Roman" w:hAnsi="Times New Roman" w:cs="Times New Roman"/>
          <w:sz w:val="24"/>
          <w:szCs w:val="24"/>
        </w:rPr>
        <w:t xml:space="preserve"> and thus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 0≤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d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G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≤1</m:t>
        </m:r>
      </m:oMath>
      <w:r w:rsidRPr="00BA7B9F">
        <w:rPr>
          <w:rFonts w:ascii="Times New Roman" w:hAnsi="Times New Roman" w:cs="Times New Roman"/>
          <w:sz w:val="24"/>
          <w:szCs w:val="24"/>
        </w:rPr>
        <w:t>.</w:t>
      </w:r>
    </w:p>
    <w:p w:rsidR="00030DA9" w:rsidRPr="00BA7B9F" w:rsidRDefault="00030DA9" w:rsidP="00030DA9">
      <w:pPr>
        <w:spacing w:line="48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BA7B9F">
        <w:rPr>
          <w:rFonts w:ascii="Times New Roman" w:hAnsi="Times New Roman" w:cs="Times New Roman"/>
          <w:b/>
          <w:sz w:val="24"/>
          <w:szCs w:val="24"/>
        </w:rPr>
        <w:lastRenderedPageBreak/>
        <w:t>µTGGE</w:t>
      </w:r>
    </w:p>
    <w:p w:rsidR="00030DA9" w:rsidRPr="008A7D93" w:rsidRDefault="00030DA9" w:rsidP="00030DA9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BA7B9F">
        <w:rPr>
          <w:rFonts w:ascii="Times New Roman" w:hAnsi="Times New Roman" w:cs="Times New Roman"/>
          <w:sz w:val="24"/>
          <w:szCs w:val="24"/>
        </w:rPr>
        <w:t xml:space="preserve">Random PCR products were analyzed using µTGGE, a miniaturized version of temperature gradient gel electrophoresis (TGGE) [4]. A slab gel [6% (w/v) of denaturing polyacrylamide gel with 8 M urea] having a size of </w:t>
      </w:r>
      <w:r w:rsidRPr="003B5A27">
        <w:rPr>
          <w:rFonts w:ascii="Times New Roman" w:hAnsi="Times New Roman" w:cs="Times New Roman"/>
          <w:sz w:val="24"/>
          <w:szCs w:val="24"/>
        </w:rPr>
        <w:t>1 inch × 1 inch</w:t>
      </w:r>
      <w:r>
        <w:rPr>
          <w:rFonts w:ascii="Times New Roman" w:hAnsi="Times New Roman" w:cs="Times New Roman" w:hint="eastAsia"/>
          <w:sz w:val="24"/>
          <w:szCs w:val="24"/>
        </w:rPr>
        <w:t xml:space="preserve">, that is, 2.5 cm </w:t>
      </w:r>
      <w:r w:rsidRPr="003B5A27">
        <w:rPr>
          <w:rFonts w:ascii="Times New Roman" w:hAnsi="Times New Roman" w:cs="Times New Roman"/>
          <w:sz w:val="24"/>
          <w:szCs w:val="24"/>
        </w:rPr>
        <w:t>×</w:t>
      </w:r>
      <w:r>
        <w:rPr>
          <w:rFonts w:ascii="Times New Roman" w:hAnsi="Times New Roman" w:cs="Times New Roman" w:hint="eastAsia"/>
          <w:sz w:val="24"/>
          <w:szCs w:val="24"/>
        </w:rPr>
        <w:t xml:space="preserve"> 2.5 cm</w:t>
      </w:r>
      <w:r w:rsidRPr="00BA7B9F">
        <w:rPr>
          <w:rFonts w:ascii="Times New Roman" w:hAnsi="Times New Roman" w:cs="Times New Roman"/>
          <w:sz w:val="24"/>
          <w:szCs w:val="24"/>
        </w:rPr>
        <w:t xml:space="preserve"> was used</w:t>
      </w:r>
      <w:r w:rsidRPr="00BA7B9F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BA7B9F">
        <w:rPr>
          <w:rFonts w:ascii="Times New Roman" w:hAnsi="Times New Roman" w:cs="Times New Roman"/>
          <w:sz w:val="24"/>
          <w:szCs w:val="24"/>
        </w:rPr>
        <w:t xml:space="preserve">. The PCR product was loaded on the top of the gel along with two internal reference DNAs </w:t>
      </w:r>
      <w:r w:rsidRPr="00BA7B9F">
        <w:rPr>
          <w:rFonts w:ascii="Times New Roman" w:hAnsi="Times New Roman" w:cs="Times New Roman"/>
          <w:i/>
          <w:sz w:val="24"/>
          <w:szCs w:val="24"/>
        </w:rPr>
        <w:t>i</w:t>
      </w:r>
      <w:r w:rsidRPr="00BA7B9F">
        <w:rPr>
          <w:rFonts w:ascii="Times New Roman" w:hAnsi="Times New Roman" w:cs="Times New Roman"/>
          <w:sz w:val="24"/>
          <w:szCs w:val="24"/>
        </w:rPr>
        <w:t>) internal Ref 1 of 200-bp, (a 191-</w:t>
      </w:r>
      <w:r w:rsidRPr="008A7D93">
        <w:rPr>
          <w:rFonts w:ascii="Times New Roman" w:hAnsi="Times New Roman" w:cs="Times New Roman"/>
          <w:sz w:val="24"/>
          <w:szCs w:val="24"/>
        </w:rPr>
        <w:t xml:space="preserve">bp fragment from the bacteriophage fd gene VIII, </w:t>
      </w:r>
      <w:r w:rsidRPr="003B5A27">
        <w:rPr>
          <w:rFonts w:ascii="Times New Roman" w:hAnsi="Times New Roman" w:cs="Times New Roman"/>
          <w:sz w:val="24"/>
          <w:szCs w:val="24"/>
        </w:rPr>
        <w:t>sites 1350–1540 (approximately)</w:t>
      </w:r>
      <w:r w:rsidRPr="008A7D93">
        <w:rPr>
          <w:rFonts w:ascii="Times New Roman" w:hAnsi="Times New Roman" w:cs="Times New Roman"/>
          <w:sz w:val="24"/>
          <w:szCs w:val="24"/>
        </w:rPr>
        <w:t xml:space="preserve"> attached to a 9-bp sequence, CTACGTCTC, at the 3′-end; T</w:t>
      </w:r>
      <w:r w:rsidRPr="008A7D93">
        <w:rPr>
          <w:rFonts w:ascii="Times New Roman" w:hAnsi="Times New Roman" w:cs="Times New Roman"/>
          <w:sz w:val="24"/>
          <w:szCs w:val="24"/>
          <w:vertAlign w:val="subscript"/>
        </w:rPr>
        <w:t>m</w:t>
      </w:r>
      <w:r w:rsidRPr="008A7D93">
        <w:rPr>
          <w:rFonts w:ascii="Times New Roman" w:hAnsi="Times New Roman" w:cs="Times New Roman"/>
          <w:sz w:val="24"/>
          <w:szCs w:val="24"/>
        </w:rPr>
        <w:t xml:space="preserve"> of 60 °C under standard conditions) and </w:t>
      </w:r>
      <w:r w:rsidRPr="008A7D93">
        <w:rPr>
          <w:rFonts w:ascii="Times New Roman" w:hAnsi="Times New Roman" w:cs="Times New Roman"/>
          <w:i/>
          <w:sz w:val="24"/>
          <w:szCs w:val="24"/>
        </w:rPr>
        <w:t>ii</w:t>
      </w:r>
      <w:r w:rsidRPr="00EF0A3E">
        <w:rPr>
          <w:rFonts w:ascii="Times New Roman" w:hAnsi="Times New Roman" w:cs="Times New Roman"/>
          <w:sz w:val="24"/>
          <w:szCs w:val="24"/>
        </w:rPr>
        <w:t>) internal Ref</w:t>
      </w:r>
      <w:r w:rsidRPr="004F4476">
        <w:rPr>
          <w:rFonts w:ascii="Times New Roman" w:hAnsi="Times New Roman" w:cs="Times New Roman"/>
          <w:sz w:val="24"/>
          <w:szCs w:val="24"/>
        </w:rPr>
        <w:t xml:space="preserve"> 2 of 900</w:t>
      </w:r>
      <w:r w:rsidRPr="008A7D93">
        <w:rPr>
          <w:rFonts w:ascii="Times New Roman" w:hAnsi="Times New Roman" w:cs="Times New Roman"/>
          <w:sz w:val="24"/>
          <w:szCs w:val="24"/>
        </w:rPr>
        <w:t xml:space="preserve"> bp taken from pBR322 (T</w:t>
      </w:r>
      <w:r w:rsidRPr="008A7D93">
        <w:rPr>
          <w:rFonts w:ascii="Times New Roman" w:hAnsi="Times New Roman" w:cs="Times New Roman"/>
          <w:sz w:val="24"/>
          <w:szCs w:val="24"/>
          <w:vertAlign w:val="subscript"/>
        </w:rPr>
        <w:t>m</w:t>
      </w:r>
      <w:r w:rsidRPr="008A7D93">
        <w:rPr>
          <w:rFonts w:ascii="Times New Roman" w:hAnsi="Times New Roman" w:cs="Times New Roman"/>
          <w:sz w:val="24"/>
          <w:szCs w:val="24"/>
        </w:rPr>
        <w:t xml:space="preserve"> of 61.4 °C under standard conditions) and subjected to electrophoresis in a µTGGE apparatus (</w:t>
      </w:r>
      <w:r>
        <w:rPr>
          <w:rFonts w:ascii="Times New Roman" w:hAnsi="Times New Roman" w:cs="Times New Roman" w:hint="eastAsia"/>
          <w:sz w:val="24"/>
          <w:szCs w:val="24"/>
        </w:rPr>
        <w:t>Lifetech</w:t>
      </w:r>
      <w:r w:rsidRPr="008A7D93">
        <w:rPr>
          <w:rFonts w:ascii="Times New Roman" w:hAnsi="Times New Roman" w:cs="Times New Roman"/>
          <w:sz w:val="24"/>
          <w:szCs w:val="24"/>
        </w:rPr>
        <w:t>) at 100 V for 12 min. A temperature gradient of 15</w:t>
      </w:r>
      <w:r w:rsidRPr="008A7D93">
        <w:rPr>
          <w:rFonts w:ascii="Times New Roman" w:eastAsia="MS Mincho" w:hAnsi="Times New Roman" w:cs="Times New Roman"/>
          <w:sz w:val="24"/>
          <w:szCs w:val="24"/>
        </w:rPr>
        <w:t>–</w:t>
      </w:r>
      <w:r w:rsidRPr="008A7D93">
        <w:rPr>
          <w:rFonts w:ascii="Times New Roman" w:hAnsi="Times New Roman" w:cs="Times New Roman"/>
          <w:sz w:val="24"/>
          <w:szCs w:val="24"/>
        </w:rPr>
        <w:t xml:space="preserve">65 °C perpendicular to the direction of DNA migration was applied. The electrophoresis bands were visualized with SYBR gold staining and imaged with a fluoroimager (Molecular Imager FX, Bio-Rad). Internal reference bands of known melting pattern were used to normalize each genome profile and to obtain </w:t>
      </w:r>
      <w:r w:rsidRPr="008A7D93">
        <w:rPr>
          <w:rFonts w:ascii="Times New Roman" w:hAnsi="Times New Roman" w:cs="Times New Roman"/>
          <w:i/>
          <w:sz w:val="24"/>
          <w:szCs w:val="24"/>
        </w:rPr>
        <w:t>spiddos</w:t>
      </w:r>
      <w:r w:rsidRPr="008A7D93">
        <w:rPr>
          <w:rFonts w:ascii="Times New Roman" w:hAnsi="Times New Roman" w:cs="Times New Roman"/>
          <w:sz w:val="24"/>
          <w:szCs w:val="24"/>
        </w:rPr>
        <w:t>.</w:t>
      </w:r>
    </w:p>
    <w:p w:rsidR="00030DA9" w:rsidRDefault="00030DA9" w:rsidP="00030DA9">
      <w:pPr>
        <w:spacing w:line="480" w:lineRule="auto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030DA9" w:rsidRPr="004F4476" w:rsidRDefault="00030DA9" w:rsidP="00030DA9">
      <w:pPr>
        <w:spacing w:line="48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4F4476">
        <w:rPr>
          <w:rFonts w:ascii="Times New Roman" w:hAnsi="Times New Roman" w:cs="Times New Roman"/>
          <w:b/>
          <w:sz w:val="24"/>
          <w:szCs w:val="24"/>
        </w:rPr>
        <w:t>Sequencing</w:t>
      </w:r>
    </w:p>
    <w:p w:rsidR="00030DA9" w:rsidRPr="008A7D93" w:rsidRDefault="00030DA9" w:rsidP="00030DA9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From a genom</w:t>
      </w:r>
      <w:r>
        <w:rPr>
          <w:rFonts w:ascii="Times New Roman" w:hAnsi="Times New Roman" w:cs="Times New Roman" w:hint="eastAsia"/>
          <w:sz w:val="24"/>
          <w:szCs w:val="24"/>
        </w:rPr>
        <w:t>e</w:t>
      </w:r>
      <w:r w:rsidRPr="008A7D93">
        <w:rPr>
          <w:rFonts w:ascii="Times New Roman" w:hAnsi="Times New Roman" w:cs="Times New Roman"/>
          <w:sz w:val="24"/>
          <w:szCs w:val="24"/>
        </w:rPr>
        <w:t xml:space="preserve"> profile generated by µTGGE, a band of interest from the gel was </w:t>
      </w:r>
      <w:r w:rsidRPr="008A7D93">
        <w:rPr>
          <w:rFonts w:ascii="Times New Roman" w:hAnsi="Times New Roman" w:cs="Times New Roman"/>
          <w:sz w:val="24"/>
          <w:szCs w:val="24"/>
        </w:rPr>
        <w:lastRenderedPageBreak/>
        <w:t xml:space="preserve">selected, and a portion of it was picked carefully (avoiding picking nearby bands). Band picking was performed with a vacuum pump and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EF0A3E">
        <w:rPr>
          <w:rFonts w:ascii="Times New Roman" w:hAnsi="Times New Roman" w:cs="Times New Roman"/>
          <w:sz w:val="24"/>
          <w:szCs w:val="24"/>
        </w:rPr>
        <w:t>microtip. This picked band was then reamplified for 30 cycles (denaturation at 94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7D93">
        <w:rPr>
          <w:rFonts w:ascii="Times New Roman" w:hAnsi="Times New Roman" w:cs="Times New Roman"/>
          <w:sz w:val="24"/>
          <w:szCs w:val="24"/>
        </w:rPr>
        <w:sym w:font="Symbol" w:char="F0B0"/>
      </w:r>
      <w:r w:rsidRPr="008A7D93">
        <w:rPr>
          <w:rFonts w:ascii="Times New Roman" w:hAnsi="Times New Roman" w:cs="Times New Roman"/>
          <w:sz w:val="24"/>
          <w:szCs w:val="24"/>
        </w:rPr>
        <w:t>C for 30 s, annealing at 60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7D93">
        <w:rPr>
          <w:rFonts w:ascii="Times New Roman" w:hAnsi="Times New Roman" w:cs="Times New Roman"/>
          <w:sz w:val="24"/>
          <w:szCs w:val="24"/>
        </w:rPr>
        <w:sym w:font="Symbol" w:char="F0B0"/>
      </w:r>
      <w:r w:rsidRPr="008A7D93">
        <w:rPr>
          <w:rFonts w:ascii="Times New Roman" w:hAnsi="Times New Roman" w:cs="Times New Roman"/>
          <w:sz w:val="24"/>
          <w:szCs w:val="24"/>
        </w:rPr>
        <w:t>C for 60 s, and extension at 74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7D93">
        <w:rPr>
          <w:rFonts w:ascii="Times New Roman" w:hAnsi="Times New Roman" w:cs="Times New Roman"/>
          <w:sz w:val="24"/>
          <w:szCs w:val="24"/>
        </w:rPr>
        <w:sym w:font="Symbol" w:char="F0B0"/>
      </w:r>
      <w:r w:rsidRPr="008A7D93">
        <w:rPr>
          <w:rFonts w:ascii="Times New Roman" w:hAnsi="Times New Roman" w:cs="Times New Roman"/>
          <w:sz w:val="24"/>
          <w:szCs w:val="24"/>
        </w:rPr>
        <w:t xml:space="preserve">C for 60 s) using PCR mix consisting of 320 </w:t>
      </w:r>
      <w:r w:rsidRPr="008A7D93">
        <w:rPr>
          <w:rFonts w:ascii="Times New Roman" w:eastAsia="MS Mincho" w:hAnsi="Times New Roman" w:cs="Times New Roman"/>
          <w:sz w:val="24"/>
          <w:szCs w:val="24"/>
        </w:rPr>
        <w:t>µ</w:t>
      </w:r>
      <w:r w:rsidRPr="008A7D93">
        <w:rPr>
          <w:rFonts w:ascii="Times New Roman" w:hAnsi="Times New Roman" w:cs="Times New Roman"/>
          <w:sz w:val="24"/>
          <w:szCs w:val="24"/>
        </w:rPr>
        <w:t xml:space="preserve">M dNTPs (N = G, A, T, or C), 0.7 </w:t>
      </w:r>
      <w:r w:rsidRPr="00EF0A3E">
        <w:rPr>
          <w:rFonts w:ascii="Times New Roman" w:eastAsia="MS Mincho" w:hAnsi="Times New Roman" w:cs="Times New Roman"/>
          <w:sz w:val="24"/>
          <w:szCs w:val="24"/>
        </w:rPr>
        <w:t>µ</w:t>
      </w:r>
      <w:r w:rsidRPr="00EF0A3E">
        <w:rPr>
          <w:rFonts w:ascii="Times New Roman" w:hAnsi="Times New Roman" w:cs="Times New Roman"/>
          <w:sz w:val="24"/>
          <w:szCs w:val="24"/>
        </w:rPr>
        <w:t>M primer p</w:t>
      </w:r>
      <w:r w:rsidRPr="008A7D93">
        <w:rPr>
          <w:rFonts w:ascii="Times New Roman" w:hAnsi="Times New Roman" w:cs="Times New Roman"/>
          <w:sz w:val="24"/>
          <w:szCs w:val="24"/>
        </w:rPr>
        <w:t>fm</w:t>
      </w:r>
      <w:r w:rsidRPr="008A7D93">
        <w:rPr>
          <w:rFonts w:ascii="Times New Roman" w:hAnsi="Times New Roman" w:cs="Times New Roman" w:hint="eastAsia"/>
          <w:sz w:val="24"/>
          <w:szCs w:val="24"/>
        </w:rPr>
        <w:t xml:space="preserve"> 19 (5</w:t>
      </w:r>
      <w:r w:rsidRPr="008A7D93">
        <w:rPr>
          <w:rFonts w:ascii="Times New Roman" w:hAnsi="Times New Roman" w:cs="Times New Roman" w:hint="eastAsia"/>
          <w:sz w:val="24"/>
          <w:szCs w:val="24"/>
        </w:rPr>
        <w:t>′</w:t>
      </w:r>
      <w:r w:rsidRPr="008A7D93">
        <w:rPr>
          <w:rFonts w:ascii="Times New Roman" w:hAnsi="Times New Roman" w:cs="Times New Roman" w:hint="eastAsia"/>
          <w:sz w:val="24"/>
          <w:szCs w:val="24"/>
        </w:rPr>
        <w:t>CAGGGCGCGTAC3</w:t>
      </w:r>
      <w:r w:rsidRPr="008A7D93">
        <w:rPr>
          <w:rFonts w:ascii="Times New Roman" w:hAnsi="Times New Roman" w:cs="Times New Roman" w:hint="eastAsia"/>
          <w:sz w:val="24"/>
          <w:szCs w:val="24"/>
        </w:rPr>
        <w:t>′</w:t>
      </w:r>
      <w:r w:rsidRPr="008A7D93">
        <w:rPr>
          <w:rFonts w:ascii="Times New Roman" w:hAnsi="Times New Roman" w:cs="Times New Roman" w:hint="eastAsia"/>
          <w:sz w:val="24"/>
          <w:szCs w:val="24"/>
        </w:rPr>
        <w:t xml:space="preserve">), 10 </w:t>
      </w:r>
      <w:r w:rsidRPr="008A7D93">
        <w:rPr>
          <w:rFonts w:ascii="Times New Roman" w:hAnsi="Times New Roman" w:cs="Times New Roman"/>
          <w:sz w:val="24"/>
          <w:szCs w:val="24"/>
        </w:rPr>
        <w:t>mM Tris-HCl (pH 8.3), 50 mM KCl, 1.5 mM MgCl</w:t>
      </w:r>
      <w:r w:rsidRPr="008A7D9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8A7D93">
        <w:rPr>
          <w:rFonts w:ascii="Times New Roman" w:hAnsi="Times New Roman" w:cs="Times New Roman"/>
          <w:sz w:val="24"/>
          <w:szCs w:val="24"/>
        </w:rPr>
        <w:t>, and 0.025 U/</w:t>
      </w:r>
      <w:r w:rsidRPr="008A7D93">
        <w:rPr>
          <w:rFonts w:ascii="Times New Roman" w:eastAsia="MS Mincho" w:hAnsi="Times New Roman" w:cs="Times New Roman"/>
          <w:sz w:val="24"/>
          <w:szCs w:val="24"/>
        </w:rPr>
        <w:t>µ</w:t>
      </w:r>
      <w:r w:rsidRPr="008A7D93">
        <w:rPr>
          <w:rFonts w:ascii="Times New Roman" w:hAnsi="Times New Roman" w:cs="Times New Roman"/>
          <w:sz w:val="24"/>
          <w:szCs w:val="24"/>
        </w:rPr>
        <w:t xml:space="preserve">L Taq DNA polymerase (Takara). The resulting PCR product was ligated to pGEM-T Easy Vector (Promega) at 4 °C overnight. Competent cells of </w:t>
      </w:r>
      <w:r w:rsidRPr="008A7D93">
        <w:rPr>
          <w:rFonts w:ascii="Times New Roman" w:hAnsi="Times New Roman" w:cs="Times New Roman"/>
          <w:i/>
          <w:sz w:val="24"/>
          <w:szCs w:val="24"/>
        </w:rPr>
        <w:t xml:space="preserve">E. coli </w:t>
      </w:r>
      <w:r w:rsidRPr="008A7D93">
        <w:rPr>
          <w:rFonts w:ascii="Times New Roman" w:hAnsi="Times New Roman" w:cs="Times New Roman"/>
          <w:sz w:val="24"/>
          <w:szCs w:val="24"/>
        </w:rPr>
        <w:t>DH5</w:t>
      </w:r>
      <w:r w:rsidRPr="008A7D93">
        <w:rPr>
          <w:rFonts w:ascii="Times New Roman" w:eastAsia="SimSun" w:hAnsi="Times New Roman" w:cs="Times New Roman"/>
          <w:sz w:val="24"/>
          <w:szCs w:val="24"/>
        </w:rPr>
        <w:t>α</w:t>
      </w:r>
      <w:r w:rsidRPr="008A7D93">
        <w:rPr>
          <w:rFonts w:ascii="Times New Roman" w:hAnsi="Times New Roman" w:cs="Times New Roman"/>
          <w:sz w:val="24"/>
          <w:szCs w:val="24"/>
        </w:rPr>
        <w:t xml:space="preserve"> (purchased from Toyobo) were transformed with the ligation product. Transformed cells were </w:t>
      </w:r>
      <w:r>
        <w:rPr>
          <w:rFonts w:ascii="Times New Roman" w:hAnsi="Times New Roman" w:cs="Times New Roman"/>
          <w:sz w:val="24"/>
          <w:szCs w:val="24"/>
        </w:rPr>
        <w:t xml:space="preserve">then </w:t>
      </w:r>
      <w:r w:rsidRPr="001970EF">
        <w:rPr>
          <w:rFonts w:ascii="Times New Roman" w:hAnsi="Times New Roman" w:cs="Times New Roman"/>
          <w:sz w:val="24"/>
          <w:szCs w:val="24"/>
        </w:rPr>
        <w:t xml:space="preserve">cultivated on LB agar plates containing 1% tryptone, 0.5% yeast extract, 1% NaCl; (pH 7.0 adjusted with NaOH), 1.5% agar, 10 mg/200 mL ampicillin, 50 mg/mL X-Gal in DMF (20 µL), and 0.1 M IPTG (100 µL). These </w:t>
      </w:r>
      <w:r>
        <w:rPr>
          <w:rFonts w:ascii="Times New Roman" w:hAnsi="Times New Roman" w:cs="Times New Roman"/>
          <w:sz w:val="24"/>
          <w:szCs w:val="24"/>
        </w:rPr>
        <w:t xml:space="preserve">plates </w:t>
      </w:r>
      <w:r w:rsidRPr="001970EF">
        <w:rPr>
          <w:rFonts w:ascii="Times New Roman" w:hAnsi="Times New Roman" w:cs="Times New Roman"/>
          <w:sz w:val="24"/>
          <w:szCs w:val="24"/>
        </w:rPr>
        <w:t>were incubated at 37 °C for 12–14 h. After incubation, white colonies were picked with a sterilized toothpick, transferred into LB broth (1% tryptone, 0.5% yeast extract, and 1% NaCl; pH 7.0), and incubated at 37 °C for 12–14 h</w:t>
      </w:r>
      <w:r w:rsidRPr="004F4476">
        <w:rPr>
          <w:rFonts w:ascii="Times New Roman" w:hAnsi="Times New Roman" w:cs="Times New Roman"/>
          <w:sz w:val="24"/>
          <w:szCs w:val="24"/>
        </w:rPr>
        <w:t xml:space="preserve"> with shaking at 180 rpm. After the integration of the gene was confirmed, the plasmid DNA was purified using Wizard</w:t>
      </w:r>
      <w:r w:rsidRPr="008A7D93">
        <w:rPr>
          <w:rFonts w:ascii="Times New Roman" w:eastAsia="MS Mincho" w:hAnsi="Times New Roman" w:cs="Times New Roman"/>
          <w:sz w:val="24"/>
          <w:szCs w:val="24"/>
        </w:rPr>
        <w:t>™</w:t>
      </w:r>
      <w:r w:rsidRPr="008A7D93">
        <w:rPr>
          <w:rFonts w:ascii="Times New Roman" w:hAnsi="Times New Roman" w:cs="Times New Roman"/>
          <w:sz w:val="24"/>
          <w:szCs w:val="24"/>
        </w:rPr>
        <w:t xml:space="preserve"> Plus SV Minipreps DNA Purification System (Promega). The sample thus purified was commercially sequenced (Operon Bio-Technology Co., Ltd.).</w:t>
      </w:r>
    </w:p>
    <w:p w:rsidR="00030DA9" w:rsidRPr="008A7D93" w:rsidRDefault="00030DA9" w:rsidP="00030DA9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030DA9" w:rsidRPr="008A7D93" w:rsidRDefault="00030DA9" w:rsidP="00030DA9">
      <w:pPr>
        <w:spacing w:line="48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8A7D93">
        <w:rPr>
          <w:rFonts w:ascii="Times New Roman" w:hAnsi="Times New Roman" w:cs="Times New Roman"/>
          <w:b/>
          <w:sz w:val="24"/>
          <w:szCs w:val="24"/>
        </w:rPr>
        <w:lastRenderedPageBreak/>
        <w:t>Peptide aptamer selection: panning on microarray MMV (POMM)</w:t>
      </w:r>
    </w:p>
    <w:p w:rsidR="00030DA9" w:rsidRPr="008A7D93" w:rsidRDefault="00030DA9" w:rsidP="00030DA9">
      <w:pPr>
        <w:spacing w:line="48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8A7D93">
        <w:rPr>
          <w:rFonts w:ascii="Times New Roman" w:hAnsi="Times New Roman" w:cs="Times New Roman"/>
          <w:sz w:val="24"/>
          <w:szCs w:val="24"/>
        </w:rPr>
        <w:t>A function-based peptide selection system, termed as panning on microarray MMV</w:t>
      </w:r>
      <w:r w:rsidRPr="008A7D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A7D93">
        <w:rPr>
          <w:rFonts w:ascii="Times New Roman" w:hAnsi="Times New Roman" w:cs="Times New Roman"/>
          <w:sz w:val="24"/>
          <w:szCs w:val="24"/>
        </w:rPr>
        <w:t>(POMM), was performed as follows: peptide-encoding DNAs (both function-known and -unknown in the ratio of 10:10</w:t>
      </w:r>
      <w:r w:rsidRPr="008A7D93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8A7D93">
        <w:rPr>
          <w:rFonts w:ascii="Times New Roman" w:hAnsi="Times New Roman" w:cs="Times New Roman"/>
          <w:sz w:val="24"/>
          <w:szCs w:val="24"/>
        </w:rPr>
        <w:t xml:space="preserve">) were charged into </w:t>
      </w:r>
      <w:r w:rsidRPr="00311017">
        <w:rPr>
          <w:rFonts w:ascii="Times New Roman" w:hAnsi="Times New Roman" w:cs="Times New Roman"/>
          <w:sz w:val="24"/>
          <w:szCs w:val="24"/>
        </w:rPr>
        <w:t>MMV wells (100 DNA molecules/well)</w:t>
      </w:r>
      <w:r w:rsidRPr="00CA13F5">
        <w:rPr>
          <w:rFonts w:ascii="Times New Roman" w:hAnsi="Times New Roman" w:cs="Times New Roman"/>
          <w:sz w:val="24"/>
          <w:szCs w:val="24"/>
        </w:rPr>
        <w:t xml:space="preserve"> and PCR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CA13F5">
        <w:rPr>
          <w:rFonts w:ascii="Times New Roman" w:hAnsi="Times New Roman" w:cs="Times New Roman"/>
          <w:sz w:val="24"/>
          <w:szCs w:val="24"/>
        </w:rPr>
        <w:t>amplified [using a PCR mixture containing 1</w:t>
      </w:r>
      <w:r w:rsidRPr="00CA13F5">
        <w:rPr>
          <w:rFonts w:ascii="Times New Roman" w:eastAsia="MS Mincho" w:hAnsi="Times New Roman" w:cs="Times New Roman"/>
          <w:sz w:val="24"/>
          <w:szCs w:val="24"/>
        </w:rPr>
        <w:t xml:space="preserve">× </w:t>
      </w:r>
      <w:r w:rsidRPr="00CA13F5">
        <w:rPr>
          <w:rFonts w:ascii="Times New Roman" w:hAnsi="Times New Roman" w:cs="Times New Roman"/>
          <w:sz w:val="24"/>
          <w:szCs w:val="24"/>
        </w:rPr>
        <w:t xml:space="preserve">Ex Taq buffer, 200 </w:t>
      </w:r>
      <w:r w:rsidRPr="00016E4B">
        <w:rPr>
          <w:rFonts w:ascii="Times New Roman" w:eastAsia="MS Mincho" w:hAnsi="Times New Roman" w:cs="Times New Roman"/>
          <w:sz w:val="24"/>
          <w:szCs w:val="24"/>
        </w:rPr>
        <w:t>µ</w:t>
      </w:r>
      <w:r w:rsidRPr="008A7D93">
        <w:rPr>
          <w:rFonts w:ascii="Times New Roman" w:hAnsi="Times New Roman" w:cs="Times New Roman"/>
          <w:sz w:val="24"/>
          <w:szCs w:val="24"/>
        </w:rPr>
        <w:t>M dNTPs (N = G, A, T, or C), 0.025 U/</w:t>
      </w:r>
      <w:r w:rsidRPr="008A7D93">
        <w:rPr>
          <w:rFonts w:ascii="Times New Roman" w:eastAsia="MS Mincho" w:hAnsi="Times New Roman" w:cs="Times New Roman"/>
          <w:sz w:val="24"/>
          <w:szCs w:val="24"/>
        </w:rPr>
        <w:t>µ</w:t>
      </w:r>
      <w:r w:rsidRPr="008A7D93">
        <w:rPr>
          <w:rFonts w:ascii="Times New Roman" w:hAnsi="Times New Roman" w:cs="Times New Roman"/>
          <w:sz w:val="24"/>
          <w:szCs w:val="24"/>
        </w:rPr>
        <w:t xml:space="preserve">L Ex Taq, and 0.4 </w:t>
      </w:r>
      <w:r w:rsidRPr="008A7D93">
        <w:rPr>
          <w:rFonts w:ascii="Times New Roman" w:eastAsia="MS Mincho" w:hAnsi="Times New Roman" w:cs="Times New Roman"/>
          <w:sz w:val="24"/>
          <w:szCs w:val="24"/>
        </w:rPr>
        <w:t>µ</w:t>
      </w:r>
      <w:r w:rsidRPr="008A7D93">
        <w:rPr>
          <w:rFonts w:ascii="Times New Roman" w:hAnsi="Times New Roman" w:cs="Times New Roman"/>
          <w:sz w:val="24"/>
          <w:szCs w:val="24"/>
        </w:rPr>
        <w:t xml:space="preserve">M CA primer] with the MMV chip sealed using 0.76 mm-thick self-adhesive silicone tape for 40 cycles (denaturation at 95 °C for 40 s, annealing at 60 °C for 60 s, extension at 72 °C for 60 s) in a conventional thermocycler </w:t>
      </w:r>
      <w:r w:rsidRPr="008A7D93">
        <w:rPr>
          <w:rFonts w:ascii="Times New Roman" w:hAnsi="Times New Roman" w:cs="Times New Roman"/>
          <w:color w:val="000000" w:themeColor="text1"/>
          <w:sz w:val="24"/>
          <w:szCs w:val="24"/>
        </w:rPr>
        <w:t>(Bio-Rad C1000 Touch).</w:t>
      </w:r>
    </w:p>
    <w:p w:rsidR="00030DA9" w:rsidRPr="008A7D93" w:rsidRDefault="00030DA9" w:rsidP="00030DA9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8A7D93">
        <w:rPr>
          <w:rFonts w:ascii="Times New Roman" w:hAnsi="Times New Roman" w:cs="Times New Roman"/>
          <w:sz w:val="24"/>
          <w:szCs w:val="24"/>
        </w:rPr>
        <w:t>After PCR, this MMV chip (original, chip-A) was used to generate couple of replica MMVs. The original MMV (chip-A) was processed for the selection (10</w:t>
      </w:r>
      <w:r w:rsidRPr="008A7D93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8A7D93">
        <w:rPr>
          <w:rFonts w:ascii="Times New Roman" w:hAnsi="Times New Roman" w:cs="Times New Roman"/>
          <w:sz w:val="24"/>
          <w:szCs w:val="24"/>
        </w:rPr>
        <w:t xml:space="preserve"> different molecules/0.5 </w:t>
      </w:r>
      <w:r w:rsidRPr="008A7D93">
        <w:rPr>
          <w:rFonts w:ascii="Times New Roman" w:eastAsia="MS Mincho" w:hAnsi="Times New Roman" w:cs="Times New Roman"/>
          <w:sz w:val="24"/>
          <w:szCs w:val="24"/>
        </w:rPr>
        <w:t>µ</w:t>
      </w:r>
      <w:r w:rsidRPr="008A7D93">
        <w:rPr>
          <w:rFonts w:ascii="Times New Roman" w:hAnsi="Times New Roman" w:cs="Times New Roman"/>
          <w:sz w:val="24"/>
          <w:szCs w:val="24"/>
        </w:rPr>
        <w:t xml:space="preserve">L) experiment, and the other replica MMVs were stored (at </w:t>
      </w:r>
      <w:r w:rsidRPr="008A7D93">
        <w:rPr>
          <w:rFonts w:ascii="Times New Roman" w:hAnsi="Times New Roman" w:cs="Times New Roman"/>
          <w:sz w:val="24"/>
          <w:szCs w:val="24"/>
        </w:rPr>
        <w:sym w:font="Symbol" w:char="F02D"/>
      </w:r>
      <w:r w:rsidRPr="00EF0A3E">
        <w:rPr>
          <w:rFonts w:ascii="Times New Roman" w:hAnsi="Times New Roman" w:cs="Times New Roman"/>
          <w:sz w:val="24"/>
          <w:szCs w:val="24"/>
        </w:rPr>
        <w:t>20 °C) for future use. The solution in chip-A was evaporated to nearly half, and IVT (</w:t>
      </w:r>
      <w:r w:rsidRPr="008A7D93">
        <w:rPr>
          <w:rFonts w:ascii="Times New Roman" w:hAnsi="Times New Roman" w:cs="Times New Roman"/>
          <w:i/>
          <w:sz w:val="24"/>
          <w:szCs w:val="24"/>
        </w:rPr>
        <w:t>in vitro</w:t>
      </w:r>
      <w:r w:rsidRPr="008A7D93">
        <w:rPr>
          <w:rFonts w:ascii="Times New Roman" w:hAnsi="Times New Roman" w:cs="Times New Roman"/>
          <w:sz w:val="24"/>
          <w:szCs w:val="24"/>
        </w:rPr>
        <w:t xml:space="preserve"> transcription/translation) solution PUREfrex</w:t>
      </w:r>
      <w:r w:rsidRPr="008A7D93">
        <w:rPr>
          <w:rFonts w:ascii="Times New Roman" w:eastAsia="MS Mincho" w:hAnsi="Times New Roman" w:cs="Times New Roman"/>
          <w:sz w:val="24"/>
          <w:szCs w:val="24"/>
        </w:rPr>
        <w:t>™</w:t>
      </w:r>
      <w:r w:rsidRPr="008A7D93">
        <w:rPr>
          <w:rFonts w:ascii="Times New Roman" w:hAnsi="Times New Roman" w:cs="Times New Roman"/>
          <w:sz w:val="24"/>
          <w:szCs w:val="24"/>
        </w:rPr>
        <w:t xml:space="preserve"> composed of solutions I</w:t>
      </w:r>
      <w:r w:rsidRPr="008A7D93">
        <w:rPr>
          <w:rFonts w:ascii="Times New Roman" w:eastAsia="MS Mincho" w:hAnsi="Times New Roman" w:cs="Times New Roman"/>
          <w:sz w:val="24"/>
          <w:szCs w:val="24"/>
        </w:rPr>
        <w:t xml:space="preserve"> (</w:t>
      </w:r>
      <w:r w:rsidRPr="008A7D93">
        <w:rPr>
          <w:rFonts w:ascii="Times New Roman" w:hAnsi="Times New Roman" w:cs="Times New Roman"/>
          <w:sz w:val="24"/>
          <w:szCs w:val="24"/>
        </w:rPr>
        <w:t xml:space="preserve">500 </w:t>
      </w:r>
      <w:r w:rsidRPr="008A7D93">
        <w:rPr>
          <w:rFonts w:ascii="Times New Roman" w:eastAsia="MS Mincho" w:hAnsi="Times New Roman" w:cs="Times New Roman"/>
          <w:sz w:val="24"/>
          <w:szCs w:val="24"/>
        </w:rPr>
        <w:t>µ</w:t>
      </w:r>
      <w:r w:rsidRPr="008A7D93">
        <w:rPr>
          <w:rFonts w:ascii="Times New Roman" w:hAnsi="Times New Roman" w:cs="Times New Roman"/>
          <w:sz w:val="24"/>
          <w:szCs w:val="24"/>
        </w:rPr>
        <w:t xml:space="preserve">L), II </w:t>
      </w:r>
      <w:r w:rsidRPr="008A7D93">
        <w:rPr>
          <w:rFonts w:ascii="Times New Roman" w:eastAsia="MS Mincho" w:hAnsi="Times New Roman" w:cs="Times New Roman"/>
          <w:sz w:val="24"/>
          <w:szCs w:val="24"/>
        </w:rPr>
        <w:t>(</w:t>
      </w:r>
      <w:r w:rsidRPr="008A7D93">
        <w:rPr>
          <w:rFonts w:ascii="Times New Roman" w:hAnsi="Times New Roman" w:cs="Times New Roman"/>
          <w:sz w:val="24"/>
          <w:szCs w:val="24"/>
        </w:rPr>
        <w:t xml:space="preserve">50 </w:t>
      </w:r>
      <w:r w:rsidRPr="008A7D93">
        <w:rPr>
          <w:rFonts w:ascii="Times New Roman" w:eastAsia="MS Mincho" w:hAnsi="Times New Roman" w:cs="Times New Roman"/>
          <w:sz w:val="24"/>
          <w:szCs w:val="24"/>
        </w:rPr>
        <w:t>µ</w:t>
      </w:r>
      <w:r w:rsidRPr="008A7D93">
        <w:rPr>
          <w:rFonts w:ascii="Times New Roman" w:hAnsi="Times New Roman" w:cs="Times New Roman"/>
          <w:sz w:val="24"/>
          <w:szCs w:val="24"/>
        </w:rPr>
        <w:t xml:space="preserve">L), and III </w:t>
      </w:r>
      <w:r w:rsidRPr="008A7D93">
        <w:rPr>
          <w:rFonts w:ascii="Times New Roman" w:eastAsia="MS Mincho" w:hAnsi="Times New Roman" w:cs="Times New Roman"/>
          <w:sz w:val="24"/>
          <w:szCs w:val="24"/>
        </w:rPr>
        <w:t>(</w:t>
      </w:r>
      <w:r w:rsidRPr="008A7D93">
        <w:rPr>
          <w:rFonts w:ascii="Times New Roman" w:hAnsi="Times New Roman" w:cs="Times New Roman"/>
          <w:sz w:val="24"/>
          <w:szCs w:val="24"/>
        </w:rPr>
        <w:t xml:space="preserve">50 </w:t>
      </w:r>
      <w:r w:rsidRPr="008A7D93">
        <w:rPr>
          <w:rFonts w:ascii="Times New Roman" w:eastAsia="MS Mincho" w:hAnsi="Times New Roman" w:cs="Times New Roman"/>
          <w:sz w:val="24"/>
          <w:szCs w:val="24"/>
        </w:rPr>
        <w:t>µ</w:t>
      </w:r>
      <w:r w:rsidRPr="008A7D93">
        <w:rPr>
          <w:rFonts w:ascii="Times New Roman" w:hAnsi="Times New Roman" w:cs="Times New Roman"/>
          <w:sz w:val="24"/>
          <w:szCs w:val="24"/>
        </w:rPr>
        <w:t xml:space="preserve">L) (GeneFrontier Corporation) was added by well-to-well transfer (S-mode) from a volume-controlled MMV (chip-B) (0.25 </w:t>
      </w:r>
      <w:r w:rsidRPr="008A7D93">
        <w:rPr>
          <w:rFonts w:ascii="Times New Roman" w:eastAsia="MS Mincho" w:hAnsi="Times New Roman" w:cs="Times New Roman"/>
          <w:sz w:val="24"/>
          <w:szCs w:val="24"/>
        </w:rPr>
        <w:t>µ</w:t>
      </w:r>
      <w:r w:rsidRPr="008A7D93">
        <w:rPr>
          <w:rFonts w:ascii="Times New Roman" w:hAnsi="Times New Roman" w:cs="Times New Roman"/>
          <w:sz w:val="24"/>
          <w:szCs w:val="24"/>
        </w:rPr>
        <w:t>L/well). The MMV chip-A was sealed with silicone tape and incubated for 2–4 h at 37 °C.</w:t>
      </w:r>
    </w:p>
    <w:p w:rsidR="00030DA9" w:rsidRPr="008A7D93" w:rsidRDefault="00030DA9" w:rsidP="00030DA9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Additionally, </w:t>
      </w:r>
      <w:r w:rsidRPr="00CA13F5">
        <w:rPr>
          <w:rFonts w:ascii="Times New Roman" w:hAnsi="Times New Roman" w:cs="Times New Roman"/>
          <w:sz w:val="24"/>
          <w:szCs w:val="24"/>
        </w:rPr>
        <w:t>A</w:t>
      </w:r>
      <w:r w:rsidRPr="00CA13F5">
        <w:rPr>
          <w:rFonts w:ascii="Times New Roman" w:eastAsia="MS Mincho" w:hAnsi="Times New Roman" w:cs="Times New Roman"/>
          <w:sz w:val="24"/>
          <w:szCs w:val="24"/>
        </w:rPr>
        <w:t xml:space="preserve">β </w:t>
      </w:r>
      <w:r w:rsidRPr="00CA13F5">
        <w:rPr>
          <w:rFonts w:ascii="Times New Roman" w:hAnsi="Times New Roman" w:cs="Times New Roman"/>
          <w:sz w:val="24"/>
          <w:szCs w:val="24"/>
        </w:rPr>
        <w:t xml:space="preserve">42-binding magnetic beads were prepared by incubating a mixture of </w:t>
      </w:r>
      <w:r w:rsidRPr="00CA13F5">
        <w:rPr>
          <w:rFonts w:ascii="Times New Roman" w:hAnsi="Times New Roman" w:cs="Times New Roman"/>
          <w:sz w:val="24"/>
          <w:szCs w:val="24"/>
        </w:rPr>
        <w:lastRenderedPageBreak/>
        <w:t xml:space="preserve">700 </w:t>
      </w:r>
      <w:r w:rsidRPr="00CA13F5">
        <w:rPr>
          <w:rFonts w:ascii="Times New Roman" w:eastAsia="MS Mincho" w:hAnsi="Times New Roman" w:cs="Times New Roman"/>
          <w:sz w:val="24"/>
          <w:szCs w:val="24"/>
        </w:rPr>
        <w:t>µ</w:t>
      </w:r>
      <w:r w:rsidRPr="00CA13F5">
        <w:rPr>
          <w:rFonts w:ascii="Times New Roman" w:hAnsi="Times New Roman" w:cs="Times New Roman"/>
          <w:sz w:val="24"/>
          <w:szCs w:val="24"/>
        </w:rPr>
        <w:t xml:space="preserve">L streptavidin magnetic bead suspension (Cosmo Bio, Co., Ltd., Tokyo, Japan) and 150 </w:t>
      </w:r>
      <w:r w:rsidRPr="00CA13F5">
        <w:rPr>
          <w:rFonts w:ascii="Times New Roman" w:eastAsia="MS Mincho" w:hAnsi="Times New Roman" w:cs="Times New Roman"/>
          <w:sz w:val="24"/>
          <w:szCs w:val="24"/>
        </w:rPr>
        <w:t>µ</w:t>
      </w:r>
      <w:r w:rsidRPr="00CA13F5">
        <w:rPr>
          <w:rFonts w:ascii="Times New Roman" w:hAnsi="Times New Roman" w:cs="Times New Roman"/>
          <w:sz w:val="24"/>
          <w:szCs w:val="24"/>
        </w:rPr>
        <w:t>L A</w:t>
      </w:r>
      <w:r w:rsidRPr="00CA13F5">
        <w:rPr>
          <w:rFonts w:ascii="Times New Roman" w:eastAsia="MS Mincho" w:hAnsi="Times New Roman" w:cs="Times New Roman"/>
          <w:sz w:val="24"/>
          <w:szCs w:val="24"/>
        </w:rPr>
        <w:t xml:space="preserve">β </w:t>
      </w:r>
      <w:r w:rsidRPr="00CA13F5">
        <w:rPr>
          <w:rFonts w:ascii="Times New Roman" w:hAnsi="Times New Roman" w:cs="Times New Roman"/>
          <w:sz w:val="24"/>
          <w:szCs w:val="24"/>
        </w:rPr>
        <w:t>42 peptide–biotin conjugate (10 pmol/</w:t>
      </w:r>
      <w:r w:rsidRPr="00CA13F5">
        <w:rPr>
          <w:rFonts w:ascii="Times New Roman" w:eastAsia="MS Mincho" w:hAnsi="Times New Roman" w:cs="Times New Roman"/>
          <w:sz w:val="24"/>
          <w:szCs w:val="24"/>
        </w:rPr>
        <w:t>µ</w:t>
      </w:r>
      <w:r w:rsidRPr="00CA13F5">
        <w:rPr>
          <w:rFonts w:ascii="Times New Roman" w:hAnsi="Times New Roman" w:cs="Times New Roman"/>
          <w:sz w:val="24"/>
          <w:szCs w:val="24"/>
        </w:rPr>
        <w:t>L) (Funakoshi Co., Ltd.) in an Eppendorf tube at room temperature for 1 h. This suspension was poured onto a new MMV (chip</w:t>
      </w:r>
      <w:r w:rsidRPr="00016E4B">
        <w:rPr>
          <w:rFonts w:ascii="Times New Roman" w:hAnsi="Times New Roman" w:cs="Times New Roman"/>
          <w:sz w:val="24"/>
          <w:szCs w:val="24"/>
        </w:rPr>
        <w:t xml:space="preserve"> C) containing PBS buffer and 0.1% Triton-X. After removal of the supernatant from chip</w:t>
      </w:r>
      <w:r w:rsidRPr="008A7D93">
        <w:rPr>
          <w:rFonts w:ascii="Times New Roman" w:hAnsi="Times New Roman" w:cs="Times New Roman"/>
          <w:sz w:val="24"/>
          <w:szCs w:val="24"/>
        </w:rPr>
        <w:t xml:space="preserve"> C by centrifugation (100 </w:t>
      </w:r>
      <w:r w:rsidRPr="008A7D93">
        <w:rPr>
          <w:rFonts w:ascii="Times New Roman" w:hAnsi="Times New Roman" w:cs="Times New Roman"/>
          <w:i/>
          <w:sz w:val="24"/>
          <w:szCs w:val="24"/>
        </w:rPr>
        <w:t>g</w:t>
      </w:r>
      <w:r w:rsidRPr="008A7D93">
        <w:rPr>
          <w:rFonts w:ascii="Times New Roman" w:hAnsi="Times New Roman" w:cs="Times New Roman"/>
          <w:sz w:val="24"/>
          <w:szCs w:val="24"/>
        </w:rPr>
        <w:t>) with magnetic beads attracted to a magnet placed at the bottom of chip C, the IVT product in chip A was transferred to chip C, enabling Aβ 42 and Aβ 42-binding peptides to interact and bind with reciprocal motion of a magnet above and below the MMV chip C for 1 h at room temperature. Separation of beads and solution was performed as described above. By washing three times with the buffer (PBS containing 1 M NaCl and 0.1% Triton-X) with a remnant ratio of 1% per round, all the Aβ 42-unbound peptides were removed, and Aβ 42-binding peptides were recovered on the beads binding to Aβ 42.</w:t>
      </w:r>
    </w:p>
    <w:p w:rsidR="00030DA9" w:rsidRPr="008A7D93" w:rsidRDefault="00030DA9" w:rsidP="00030DA9">
      <w:pPr>
        <w:spacing w:line="48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 w:rsidRPr="008A7D93">
        <w:rPr>
          <w:rFonts w:ascii="Times New Roman" w:hAnsi="Times New Roman" w:cs="Times New Roman"/>
          <w:sz w:val="24"/>
          <w:szCs w:val="24"/>
        </w:rPr>
        <w:t>A solution containing FITC-labeled anti-FLAG antibody [Monoclonal ANTI-FLAG</w:t>
      </w:r>
      <w:r w:rsidRPr="000C328E">
        <w:rPr>
          <w:rFonts w:ascii="Times New Roman" w:eastAsia="MS Mincho" w:hAnsi="Times New Roman" w:cs="Times New Roman"/>
          <w:sz w:val="24"/>
          <w:szCs w:val="24"/>
          <w:vertAlign w:val="superscript"/>
        </w:rPr>
        <w:t>®</w:t>
      </w:r>
      <w:r w:rsidRPr="00016E4B">
        <w:rPr>
          <w:rFonts w:ascii="Times New Roman" w:eastAsia="MS Mincho" w:hAnsi="Times New Roman" w:cs="Times New Roman"/>
          <w:sz w:val="24"/>
          <w:szCs w:val="24"/>
        </w:rPr>
        <w:t xml:space="preserve"> M2-FITC (Sigma-Aldrich), 20-fold diluted in PBS containing 0.1% Triton-X], </w:t>
      </w:r>
      <w:r w:rsidRPr="008A7D93">
        <w:rPr>
          <w:rFonts w:ascii="Times New Roman" w:hAnsi="Times New Roman" w:cs="Times New Roman"/>
          <w:sz w:val="24"/>
          <w:szCs w:val="24"/>
        </w:rPr>
        <w:t xml:space="preserve">charged into a fresh MMV (chip D), </w:t>
      </w:r>
      <w:r w:rsidRPr="008A7D93">
        <w:rPr>
          <w:rFonts w:ascii="Times New Roman" w:eastAsia="MS Mincho" w:hAnsi="Times New Roman" w:cs="Times New Roman"/>
          <w:sz w:val="24"/>
          <w:szCs w:val="24"/>
        </w:rPr>
        <w:t>was transferred to chip C. This chip C was sealed, mixed with a magnet, and incubated for 1 h at room temperature to allow binding between FITC-labeled antibody and FLAG-fused peptide. The supernatant was discarded and the remaining beads were washed as described above.</w:t>
      </w:r>
    </w:p>
    <w:p w:rsidR="00030DA9" w:rsidRDefault="00030DA9" w:rsidP="006C2E3D">
      <w:pPr>
        <w:spacing w:line="48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 w:rsidRPr="008A7D93">
        <w:rPr>
          <w:rFonts w:ascii="Times New Roman" w:eastAsia="MS Mincho" w:hAnsi="Times New Roman" w:cs="Times New Roman"/>
          <w:sz w:val="24"/>
          <w:szCs w:val="24"/>
        </w:rPr>
        <w:lastRenderedPageBreak/>
        <w:t xml:space="preserve">Aβ 42-binding peptides in chip C were released by proteinase K (1/50× concentration, Invitrogen) using PBS containing 0.1% Triton-X and incubated for 1 h at 37 </w:t>
      </w:r>
      <w:r w:rsidRPr="008A7D93">
        <w:rPr>
          <w:rFonts w:ascii="Times New Roman" w:hAnsi="Times New Roman" w:cs="Times New Roman"/>
          <w:sz w:val="24"/>
          <w:szCs w:val="24"/>
        </w:rPr>
        <w:t>°C</w:t>
      </w:r>
      <w:r w:rsidRPr="008A7D93">
        <w:rPr>
          <w:rFonts w:ascii="Times New Roman" w:eastAsia="MS Mincho" w:hAnsi="Times New Roman" w:cs="Times New Roman"/>
          <w:sz w:val="24"/>
          <w:szCs w:val="24"/>
        </w:rPr>
        <w:t>.</w:t>
      </w:r>
      <w:r w:rsidRPr="008A7D93">
        <w:rPr>
          <w:rFonts w:ascii="Times New Roman" w:hAnsi="Times New Roman" w:cs="Times New Roman"/>
          <w:sz w:val="24"/>
          <w:szCs w:val="24"/>
        </w:rPr>
        <w:t xml:space="preserve"> </w:t>
      </w:r>
      <w:r w:rsidRPr="008A7D93">
        <w:rPr>
          <w:rFonts w:ascii="Times New Roman" w:eastAsia="MS Mincho" w:hAnsi="Times New Roman" w:cs="Times New Roman"/>
          <w:sz w:val="24"/>
          <w:szCs w:val="24"/>
        </w:rPr>
        <w:t>The liquid in chip C was transferred (M-mode) to a fresh MMV (chip E), and the FITC fluorescence of the solution in chip E was detected using a laser scanner with FITC filter.</w:t>
      </w:r>
    </w:p>
    <w:p w:rsidR="006C2E3D" w:rsidRDefault="006C2E3D" w:rsidP="006C2E3D">
      <w:pPr>
        <w:spacing w:line="48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</w:p>
    <w:p w:rsidR="006C2E3D" w:rsidRDefault="006C2E3D" w:rsidP="006C2E3D">
      <w:pPr>
        <w:spacing w:line="48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</w:p>
    <w:p w:rsidR="006C2E3D" w:rsidRDefault="006C2E3D" w:rsidP="006C2E3D">
      <w:pPr>
        <w:spacing w:line="48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</w:p>
    <w:p w:rsidR="006C2E3D" w:rsidRDefault="006C2E3D" w:rsidP="006C2E3D">
      <w:pPr>
        <w:spacing w:line="48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</w:p>
    <w:p w:rsidR="006C2E3D" w:rsidRDefault="006C2E3D" w:rsidP="006C2E3D">
      <w:pPr>
        <w:spacing w:line="48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</w:p>
    <w:p w:rsidR="006C2E3D" w:rsidRDefault="006C2E3D" w:rsidP="006C2E3D">
      <w:pPr>
        <w:spacing w:line="48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</w:p>
    <w:p w:rsidR="006C2E3D" w:rsidRDefault="006C2E3D" w:rsidP="006C2E3D">
      <w:pPr>
        <w:spacing w:line="48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</w:p>
    <w:p w:rsidR="006C2E3D" w:rsidRDefault="006C2E3D" w:rsidP="006C2E3D">
      <w:pPr>
        <w:spacing w:line="48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</w:p>
    <w:p w:rsidR="006C2E3D" w:rsidRDefault="006C2E3D" w:rsidP="006C2E3D">
      <w:pPr>
        <w:spacing w:line="48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</w:p>
    <w:p w:rsidR="006C2E3D" w:rsidRDefault="006C2E3D" w:rsidP="006C2E3D">
      <w:pPr>
        <w:spacing w:line="48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</w:p>
    <w:p w:rsidR="006C2E3D" w:rsidRDefault="006C2E3D" w:rsidP="006C2E3D">
      <w:pPr>
        <w:spacing w:line="48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</w:p>
    <w:p w:rsidR="006C2E3D" w:rsidRDefault="006C2E3D" w:rsidP="006C2E3D">
      <w:pPr>
        <w:spacing w:line="48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</w:p>
    <w:p w:rsidR="006C2E3D" w:rsidRPr="006C2E3D" w:rsidRDefault="006C2E3D" w:rsidP="006C2E3D"/>
    <w:p w:rsidR="00030DA9" w:rsidRPr="006C2E3D" w:rsidRDefault="00030DA9" w:rsidP="00030DA9">
      <w:pPr>
        <w:pStyle w:val="Heading1"/>
        <w:rPr>
          <w:rFonts w:ascii="Times New Roman" w:hAnsi="Times New Roman" w:cs="Times New Roman"/>
          <w:b w:val="0"/>
          <w:sz w:val="22"/>
          <w:szCs w:val="22"/>
        </w:rPr>
      </w:pPr>
      <w:r w:rsidRPr="006C2E3D">
        <w:rPr>
          <w:sz w:val="22"/>
          <w:szCs w:val="22"/>
        </w:rPr>
        <w:lastRenderedPageBreak/>
        <w:t>References for additional methods</w:t>
      </w:r>
    </w:p>
    <w:p w:rsidR="00030DA9" w:rsidRPr="008A7D93" w:rsidRDefault="00030DA9" w:rsidP="00030DA9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030DA9" w:rsidRPr="008A7D93" w:rsidRDefault="00030DA9" w:rsidP="00030DA9">
      <w:pPr>
        <w:pStyle w:val="ListParagraph"/>
        <w:numPr>
          <w:ilvl w:val="0"/>
          <w:numId w:val="1"/>
        </w:numPr>
        <w:spacing w:line="480" w:lineRule="auto"/>
        <w:ind w:leftChars="0"/>
        <w:jc w:val="left"/>
        <w:rPr>
          <w:rFonts w:ascii="Times New Roman" w:hAnsi="Times New Roman" w:cs="Times New Roman"/>
          <w:sz w:val="24"/>
          <w:szCs w:val="24"/>
        </w:rPr>
      </w:pPr>
      <w:r w:rsidRPr="008A7D93">
        <w:rPr>
          <w:rFonts w:ascii="Times New Roman" w:hAnsi="Times New Roman" w:cs="Times New Roman"/>
          <w:sz w:val="24"/>
          <w:szCs w:val="24"/>
        </w:rPr>
        <w:t xml:space="preserve">Kinoshita Y, Tayama T, Kitamura K, Salimullah M, Uchida H, Suzuki M, Husimi Y, Nishigaki K: </w:t>
      </w:r>
      <w:r w:rsidRPr="008A7D93">
        <w:rPr>
          <w:rFonts w:ascii="Times New Roman" w:hAnsi="Times New Roman" w:cs="Times New Roman"/>
          <w:b/>
          <w:sz w:val="24"/>
          <w:szCs w:val="24"/>
        </w:rPr>
        <w:t>Novel concept microarray enabling PCR and multistep reactions through pipette-free aperture-to-aperture parallel transfer.</w:t>
      </w:r>
      <w:r w:rsidRPr="008A7D93">
        <w:rPr>
          <w:rFonts w:ascii="Times New Roman" w:hAnsi="Times New Roman" w:cs="Times New Roman"/>
          <w:sz w:val="24"/>
          <w:szCs w:val="24"/>
        </w:rPr>
        <w:t xml:space="preserve"> </w:t>
      </w:r>
      <w:r w:rsidRPr="008A7D93">
        <w:rPr>
          <w:rFonts w:ascii="Times New Roman" w:hAnsi="Times New Roman" w:cs="Times New Roman"/>
          <w:i/>
          <w:sz w:val="24"/>
          <w:szCs w:val="24"/>
        </w:rPr>
        <w:t>BMC Biotechnol</w:t>
      </w:r>
      <w:r w:rsidRPr="008A7D93">
        <w:rPr>
          <w:rFonts w:ascii="Times New Roman" w:hAnsi="Times New Roman" w:cs="Times New Roman"/>
          <w:sz w:val="24"/>
          <w:szCs w:val="24"/>
        </w:rPr>
        <w:t xml:space="preserve"> 2010, </w:t>
      </w:r>
      <w:r w:rsidRPr="008A7D93">
        <w:rPr>
          <w:rFonts w:ascii="Times New Roman" w:hAnsi="Times New Roman" w:cs="Times New Roman"/>
          <w:b/>
          <w:sz w:val="24"/>
          <w:szCs w:val="24"/>
        </w:rPr>
        <w:t>10</w:t>
      </w:r>
      <w:r w:rsidRPr="008A7D93">
        <w:rPr>
          <w:rFonts w:ascii="Times New Roman" w:hAnsi="Times New Roman" w:cs="Times New Roman"/>
          <w:sz w:val="24"/>
          <w:szCs w:val="24"/>
        </w:rPr>
        <w:t>:71.</w:t>
      </w:r>
    </w:p>
    <w:p w:rsidR="00030DA9" w:rsidRPr="008A7D93" w:rsidRDefault="00030DA9" w:rsidP="00030DA9">
      <w:pPr>
        <w:pStyle w:val="ListParagraph"/>
        <w:numPr>
          <w:ilvl w:val="0"/>
          <w:numId w:val="1"/>
        </w:numPr>
        <w:spacing w:line="480" w:lineRule="auto"/>
        <w:ind w:leftChars="0"/>
        <w:jc w:val="left"/>
        <w:rPr>
          <w:rFonts w:ascii="Times New Roman" w:hAnsi="Times New Roman" w:cs="Times New Roman"/>
          <w:sz w:val="24"/>
          <w:szCs w:val="24"/>
        </w:rPr>
      </w:pPr>
      <w:r w:rsidRPr="008A7D93">
        <w:rPr>
          <w:rFonts w:ascii="Times New Roman" w:hAnsi="Times New Roman" w:cs="Times New Roman"/>
          <w:sz w:val="24"/>
          <w:szCs w:val="24"/>
        </w:rPr>
        <w:t xml:space="preserve">Nishigaki K, Naimuddin M, Hamano K: </w:t>
      </w:r>
      <w:r w:rsidRPr="008A7D93">
        <w:rPr>
          <w:rFonts w:ascii="Times New Roman" w:hAnsi="Times New Roman" w:cs="Times New Roman"/>
          <w:b/>
          <w:sz w:val="24"/>
          <w:szCs w:val="24"/>
        </w:rPr>
        <w:t>Genome profiling: a realistic solution for genotype-based identification of species.</w:t>
      </w:r>
      <w:r w:rsidRPr="008A7D93">
        <w:rPr>
          <w:rFonts w:ascii="Times New Roman" w:hAnsi="Times New Roman" w:cs="Times New Roman"/>
          <w:sz w:val="24"/>
          <w:szCs w:val="24"/>
        </w:rPr>
        <w:t xml:space="preserve"> </w:t>
      </w:r>
      <w:r w:rsidRPr="008A7D93">
        <w:rPr>
          <w:rFonts w:ascii="Times New Roman" w:hAnsi="Times New Roman" w:cs="Times New Roman"/>
          <w:i/>
          <w:sz w:val="24"/>
          <w:szCs w:val="24"/>
        </w:rPr>
        <w:t>J Biochem</w:t>
      </w:r>
      <w:r w:rsidRPr="008A7D93">
        <w:rPr>
          <w:rFonts w:ascii="Times New Roman" w:hAnsi="Times New Roman" w:cs="Times New Roman"/>
          <w:sz w:val="24"/>
          <w:szCs w:val="24"/>
        </w:rPr>
        <w:t xml:space="preserve"> 2000, </w:t>
      </w:r>
      <w:r w:rsidRPr="008A7D93">
        <w:rPr>
          <w:rFonts w:ascii="Times New Roman" w:hAnsi="Times New Roman" w:cs="Times New Roman"/>
          <w:b/>
          <w:sz w:val="24"/>
          <w:szCs w:val="24"/>
        </w:rPr>
        <w:t>128</w:t>
      </w:r>
      <w:r w:rsidRPr="008A7D93">
        <w:rPr>
          <w:rFonts w:ascii="Times New Roman" w:hAnsi="Times New Roman" w:cs="Times New Roman"/>
          <w:sz w:val="24"/>
          <w:szCs w:val="24"/>
        </w:rPr>
        <w:t>:107–112.</w:t>
      </w:r>
    </w:p>
    <w:p w:rsidR="00030DA9" w:rsidRPr="008A7D93" w:rsidRDefault="00030DA9" w:rsidP="00030DA9">
      <w:pPr>
        <w:pStyle w:val="ListParagraph"/>
        <w:numPr>
          <w:ilvl w:val="0"/>
          <w:numId w:val="1"/>
        </w:numPr>
        <w:spacing w:line="480" w:lineRule="auto"/>
        <w:ind w:leftChars="0"/>
        <w:jc w:val="left"/>
        <w:rPr>
          <w:rFonts w:ascii="Times New Roman" w:hAnsi="Times New Roman" w:cs="Times New Roman"/>
          <w:sz w:val="24"/>
          <w:szCs w:val="24"/>
        </w:rPr>
      </w:pPr>
      <w:r w:rsidRPr="008A7D93">
        <w:rPr>
          <w:rFonts w:ascii="Times New Roman" w:hAnsi="Times New Roman" w:cs="Times New Roman"/>
          <w:sz w:val="24"/>
          <w:szCs w:val="24"/>
        </w:rPr>
        <w:t xml:space="preserve">Naimuddin M, Kurazono T, Zhang Y, Watanabe T, Yamaguchi M, </w:t>
      </w:r>
      <w:r w:rsidRPr="008A7D93">
        <w:rPr>
          <w:rFonts w:ascii="Times New Roman" w:hAnsi="Times New Roman" w:cs="Times New Roman"/>
          <w:kern w:val="0"/>
          <w:sz w:val="24"/>
          <w:szCs w:val="24"/>
        </w:rPr>
        <w:t>Nishigaki K:</w:t>
      </w:r>
      <w:r w:rsidRPr="008A7D93">
        <w:rPr>
          <w:rFonts w:ascii="Times New Roman" w:hAnsi="Times New Roman" w:cs="Times New Roman"/>
          <w:sz w:val="24"/>
          <w:szCs w:val="24"/>
        </w:rPr>
        <w:t xml:space="preserve"> </w:t>
      </w:r>
      <w:r w:rsidRPr="008A7D93">
        <w:rPr>
          <w:rFonts w:ascii="Times New Roman" w:hAnsi="Times New Roman" w:cs="Times New Roman"/>
          <w:b/>
          <w:sz w:val="24"/>
          <w:szCs w:val="24"/>
        </w:rPr>
        <w:t>Species-identification dots: a potent tool for developing genome microbiology.</w:t>
      </w:r>
      <w:r w:rsidRPr="008A7D93">
        <w:rPr>
          <w:rFonts w:ascii="Times New Roman" w:hAnsi="Times New Roman" w:cs="Times New Roman"/>
          <w:sz w:val="24"/>
          <w:szCs w:val="24"/>
        </w:rPr>
        <w:t xml:space="preserve"> </w:t>
      </w:r>
      <w:r w:rsidRPr="008A7D93">
        <w:rPr>
          <w:rFonts w:ascii="Times New Roman" w:hAnsi="Times New Roman" w:cs="Times New Roman"/>
          <w:i/>
          <w:sz w:val="24"/>
          <w:szCs w:val="24"/>
        </w:rPr>
        <w:t>Gene</w:t>
      </w:r>
      <w:r w:rsidRPr="008A7D93">
        <w:rPr>
          <w:rFonts w:ascii="Times New Roman" w:hAnsi="Times New Roman" w:cs="Times New Roman"/>
          <w:sz w:val="24"/>
          <w:szCs w:val="24"/>
        </w:rPr>
        <w:t xml:space="preserve"> 2000, </w:t>
      </w:r>
      <w:r w:rsidRPr="008A7D93">
        <w:rPr>
          <w:rFonts w:ascii="Times New Roman" w:hAnsi="Times New Roman" w:cs="Times New Roman"/>
          <w:b/>
          <w:sz w:val="24"/>
          <w:szCs w:val="24"/>
        </w:rPr>
        <w:t>261</w:t>
      </w:r>
      <w:r w:rsidRPr="008A7D93">
        <w:rPr>
          <w:rFonts w:ascii="Times New Roman" w:hAnsi="Times New Roman" w:cs="Times New Roman"/>
          <w:sz w:val="24"/>
          <w:szCs w:val="24"/>
        </w:rPr>
        <w:t>:243–250.</w:t>
      </w:r>
    </w:p>
    <w:p w:rsidR="00030DA9" w:rsidRPr="008A7D93" w:rsidRDefault="00030DA9" w:rsidP="00030DA9">
      <w:pPr>
        <w:pStyle w:val="ListParagraph"/>
        <w:numPr>
          <w:ilvl w:val="0"/>
          <w:numId w:val="1"/>
        </w:numPr>
        <w:spacing w:line="480" w:lineRule="auto"/>
        <w:ind w:leftChars="0"/>
        <w:jc w:val="left"/>
        <w:rPr>
          <w:rFonts w:ascii="Times New Roman" w:hAnsi="Times New Roman" w:cs="Times New Roman"/>
          <w:sz w:val="24"/>
          <w:szCs w:val="24"/>
        </w:rPr>
      </w:pPr>
      <w:r w:rsidRPr="008A7D93">
        <w:rPr>
          <w:rFonts w:ascii="Times New Roman" w:hAnsi="Times New Roman" w:cs="Times New Roman"/>
          <w:sz w:val="24"/>
          <w:szCs w:val="24"/>
        </w:rPr>
        <w:t xml:space="preserve">Biyani M, Nishigaki K: </w:t>
      </w:r>
      <w:r w:rsidRPr="008A7D93">
        <w:rPr>
          <w:rFonts w:ascii="Times New Roman" w:hAnsi="Times New Roman" w:cs="Times New Roman"/>
          <w:b/>
          <w:sz w:val="24"/>
          <w:szCs w:val="24"/>
        </w:rPr>
        <w:t>Hundred-fold productivity of genome analysis by introduction of micro temperature-gradient gel electrophoresis.</w:t>
      </w:r>
      <w:r w:rsidRPr="008A7D93">
        <w:rPr>
          <w:rFonts w:ascii="Times New Roman" w:hAnsi="Times New Roman" w:cs="Times New Roman"/>
          <w:sz w:val="24"/>
          <w:szCs w:val="24"/>
        </w:rPr>
        <w:t xml:space="preserve"> </w:t>
      </w:r>
      <w:r w:rsidRPr="008A7D93">
        <w:rPr>
          <w:rFonts w:ascii="Times New Roman" w:hAnsi="Times New Roman" w:cs="Times New Roman"/>
          <w:i/>
          <w:sz w:val="24"/>
          <w:szCs w:val="24"/>
        </w:rPr>
        <w:t>Electrophoresis</w:t>
      </w:r>
      <w:r w:rsidRPr="008A7D93">
        <w:rPr>
          <w:rFonts w:ascii="Times New Roman" w:hAnsi="Times New Roman" w:cs="Times New Roman"/>
          <w:sz w:val="24"/>
          <w:szCs w:val="24"/>
        </w:rPr>
        <w:t xml:space="preserve"> 2001, </w:t>
      </w:r>
      <w:r w:rsidRPr="008A7D93">
        <w:rPr>
          <w:rFonts w:ascii="Times New Roman" w:hAnsi="Times New Roman" w:cs="Times New Roman"/>
          <w:b/>
          <w:sz w:val="24"/>
          <w:szCs w:val="24"/>
        </w:rPr>
        <w:t>22</w:t>
      </w:r>
      <w:r w:rsidRPr="008A7D93">
        <w:rPr>
          <w:rFonts w:ascii="Times New Roman" w:hAnsi="Times New Roman" w:cs="Times New Roman"/>
          <w:sz w:val="24"/>
          <w:szCs w:val="24"/>
        </w:rPr>
        <w:t>:23–28.</w:t>
      </w:r>
    </w:p>
    <w:p w:rsidR="00323D65" w:rsidRDefault="00BE2B0F"/>
    <w:sectPr w:rsidR="00323D65">
      <w:footerReference w:type="default" r:id="rId8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5152" w:rsidRDefault="00475152" w:rsidP="00030DA9">
      <w:r>
        <w:separator/>
      </w:r>
    </w:p>
  </w:endnote>
  <w:endnote w:type="continuationSeparator" w:id="0">
    <w:p w:rsidR="00475152" w:rsidRDefault="00475152" w:rsidP="00030D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25375298"/>
      <w:docPartObj>
        <w:docPartGallery w:val="Page Numbers (Bottom of Page)"/>
        <w:docPartUnique/>
      </w:docPartObj>
    </w:sdtPr>
    <w:sdtEndPr/>
    <w:sdtContent>
      <w:p w:rsidR="001E5734" w:rsidRDefault="001E5734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2B0F" w:rsidRPr="00BE2B0F">
          <w:rPr>
            <w:noProof/>
            <w:lang w:val="ja-JP"/>
          </w:rPr>
          <w:t>1</w:t>
        </w:r>
        <w:r>
          <w:fldChar w:fldCharType="end"/>
        </w:r>
      </w:p>
    </w:sdtContent>
  </w:sdt>
  <w:p w:rsidR="001E5734" w:rsidRDefault="001E573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5152" w:rsidRDefault="00475152" w:rsidP="00030DA9">
      <w:r>
        <w:separator/>
      </w:r>
    </w:p>
  </w:footnote>
  <w:footnote w:type="continuationSeparator" w:id="0">
    <w:p w:rsidR="00475152" w:rsidRDefault="00475152" w:rsidP="00030D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A7257"/>
    <w:multiLevelType w:val="hybridMultilevel"/>
    <w:tmpl w:val="77B28C1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50C"/>
    <w:rsid w:val="00030DA9"/>
    <w:rsid w:val="001E5734"/>
    <w:rsid w:val="002B7D2E"/>
    <w:rsid w:val="00475152"/>
    <w:rsid w:val="005569BB"/>
    <w:rsid w:val="006C2E3D"/>
    <w:rsid w:val="007F67EE"/>
    <w:rsid w:val="008E4335"/>
    <w:rsid w:val="00BE2B0F"/>
    <w:rsid w:val="00DE050C"/>
    <w:rsid w:val="00EC6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0DA9"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qFormat/>
    <w:rsid w:val="00030DA9"/>
    <w:pPr>
      <w:keepNext/>
      <w:widowControl/>
      <w:spacing w:before="240" w:after="60"/>
      <w:jc w:val="left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en-GB" w:eastAsia="en-US"/>
    </w:rPr>
  </w:style>
  <w:style w:type="paragraph" w:styleId="Heading3">
    <w:name w:val="heading 3"/>
    <w:basedOn w:val="Normal"/>
    <w:next w:val="Normal"/>
    <w:link w:val="Heading3Char"/>
    <w:qFormat/>
    <w:rsid w:val="00030DA9"/>
    <w:pPr>
      <w:keepNext/>
      <w:widowControl/>
      <w:jc w:val="left"/>
      <w:outlineLvl w:val="2"/>
    </w:pPr>
    <w:rPr>
      <w:rFonts w:ascii="Times New Roman" w:eastAsia="Times New Roman" w:hAnsi="Times New Roman" w:cs="Times New Roman"/>
      <w:b/>
      <w:bCs/>
      <w:kern w:val="0"/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30DA9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030DA9"/>
  </w:style>
  <w:style w:type="paragraph" w:styleId="Footer">
    <w:name w:val="footer"/>
    <w:basedOn w:val="Normal"/>
    <w:link w:val="FooterChar"/>
    <w:uiPriority w:val="99"/>
    <w:unhideWhenUsed/>
    <w:rsid w:val="00030DA9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030DA9"/>
  </w:style>
  <w:style w:type="character" w:customStyle="1" w:styleId="Heading1Char">
    <w:name w:val="Heading 1 Char"/>
    <w:basedOn w:val="DefaultParagraphFont"/>
    <w:link w:val="Heading1"/>
    <w:rsid w:val="00030DA9"/>
    <w:rPr>
      <w:rFonts w:ascii="Arial" w:eastAsia="Times New Roman" w:hAnsi="Arial" w:cs="Arial"/>
      <w:b/>
      <w:bCs/>
      <w:kern w:val="32"/>
      <w:sz w:val="32"/>
      <w:szCs w:val="32"/>
      <w:lang w:val="en-GB" w:eastAsia="en-US"/>
    </w:rPr>
  </w:style>
  <w:style w:type="character" w:customStyle="1" w:styleId="Heading3Char">
    <w:name w:val="Heading 3 Char"/>
    <w:basedOn w:val="DefaultParagraphFont"/>
    <w:link w:val="Heading3"/>
    <w:rsid w:val="00030DA9"/>
    <w:rPr>
      <w:rFonts w:ascii="Times New Roman" w:eastAsia="Times New Roman" w:hAnsi="Times New Roman" w:cs="Times New Roman"/>
      <w:b/>
      <w:bCs/>
      <w:kern w:val="0"/>
      <w:sz w:val="24"/>
      <w:szCs w:val="24"/>
      <w:lang w:val="en-GB" w:eastAsia="en-US"/>
    </w:rPr>
  </w:style>
  <w:style w:type="paragraph" w:styleId="ListParagraph">
    <w:name w:val="List Paragraph"/>
    <w:basedOn w:val="Normal"/>
    <w:uiPriority w:val="34"/>
    <w:qFormat/>
    <w:rsid w:val="00030DA9"/>
    <w:pPr>
      <w:ind w:leftChars="400" w:left="84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30DA9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0DA9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0DA9"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qFormat/>
    <w:rsid w:val="00030DA9"/>
    <w:pPr>
      <w:keepNext/>
      <w:widowControl/>
      <w:spacing w:before="240" w:after="60"/>
      <w:jc w:val="left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en-GB" w:eastAsia="en-US"/>
    </w:rPr>
  </w:style>
  <w:style w:type="paragraph" w:styleId="Heading3">
    <w:name w:val="heading 3"/>
    <w:basedOn w:val="Normal"/>
    <w:next w:val="Normal"/>
    <w:link w:val="Heading3Char"/>
    <w:qFormat/>
    <w:rsid w:val="00030DA9"/>
    <w:pPr>
      <w:keepNext/>
      <w:widowControl/>
      <w:jc w:val="left"/>
      <w:outlineLvl w:val="2"/>
    </w:pPr>
    <w:rPr>
      <w:rFonts w:ascii="Times New Roman" w:eastAsia="Times New Roman" w:hAnsi="Times New Roman" w:cs="Times New Roman"/>
      <w:b/>
      <w:bCs/>
      <w:kern w:val="0"/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30DA9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030DA9"/>
  </w:style>
  <w:style w:type="paragraph" w:styleId="Footer">
    <w:name w:val="footer"/>
    <w:basedOn w:val="Normal"/>
    <w:link w:val="FooterChar"/>
    <w:uiPriority w:val="99"/>
    <w:unhideWhenUsed/>
    <w:rsid w:val="00030DA9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030DA9"/>
  </w:style>
  <w:style w:type="character" w:customStyle="1" w:styleId="Heading1Char">
    <w:name w:val="Heading 1 Char"/>
    <w:basedOn w:val="DefaultParagraphFont"/>
    <w:link w:val="Heading1"/>
    <w:rsid w:val="00030DA9"/>
    <w:rPr>
      <w:rFonts w:ascii="Arial" w:eastAsia="Times New Roman" w:hAnsi="Arial" w:cs="Arial"/>
      <w:b/>
      <w:bCs/>
      <w:kern w:val="32"/>
      <w:sz w:val="32"/>
      <w:szCs w:val="32"/>
      <w:lang w:val="en-GB" w:eastAsia="en-US"/>
    </w:rPr>
  </w:style>
  <w:style w:type="character" w:customStyle="1" w:styleId="Heading3Char">
    <w:name w:val="Heading 3 Char"/>
    <w:basedOn w:val="DefaultParagraphFont"/>
    <w:link w:val="Heading3"/>
    <w:rsid w:val="00030DA9"/>
    <w:rPr>
      <w:rFonts w:ascii="Times New Roman" w:eastAsia="Times New Roman" w:hAnsi="Times New Roman" w:cs="Times New Roman"/>
      <w:b/>
      <w:bCs/>
      <w:kern w:val="0"/>
      <w:sz w:val="24"/>
      <w:szCs w:val="24"/>
      <w:lang w:val="en-GB" w:eastAsia="en-US"/>
    </w:rPr>
  </w:style>
  <w:style w:type="paragraph" w:styleId="ListParagraph">
    <w:name w:val="List Paragraph"/>
    <w:basedOn w:val="Normal"/>
    <w:uiPriority w:val="34"/>
    <w:qFormat/>
    <w:rsid w:val="00030DA9"/>
    <w:pPr>
      <w:ind w:leftChars="400" w:left="84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30DA9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0DA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1361</Words>
  <Characters>7764</Characters>
  <Application>Microsoft Office Word</Application>
  <DocSecurity>0</DocSecurity>
  <Lines>64</Lines>
  <Paragraphs>18</Paragraphs>
  <ScaleCrop>false</ScaleCrop>
  <Company/>
  <LinksUpToDate>false</LinksUpToDate>
  <CharactersWithSpaces>9107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harshita</dc:creator>
  <cp:keywords/>
  <dc:description/>
  <cp:lastModifiedBy>Real, Francis Frank</cp:lastModifiedBy>
  <cp:revision>6</cp:revision>
  <dcterms:created xsi:type="dcterms:W3CDTF">2014-03-27T02:45:00Z</dcterms:created>
  <dcterms:modified xsi:type="dcterms:W3CDTF">2014-08-30T07:50:00Z</dcterms:modified>
</cp:coreProperties>
</file>