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22" w:rsidRPr="0018577F" w:rsidRDefault="00B22822" w:rsidP="00B22822">
      <w:pPr>
        <w:spacing w:line="360" w:lineRule="auto"/>
        <w:ind w:right="-58"/>
        <w:rPr>
          <w:rFonts w:ascii="Times New Roman" w:hAnsi="Times New Roman" w:cs="Times New Roman"/>
          <w:sz w:val="24"/>
          <w:szCs w:val="24"/>
          <w:lang w:val="en-US"/>
        </w:rPr>
      </w:pPr>
      <w:r w:rsidRPr="0018577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0C09CEF" wp14:editId="4851249C">
            <wp:extent cx="5190978" cy="2996418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22822" w:rsidRPr="00981864" w:rsidRDefault="00B22822" w:rsidP="00B228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81864">
        <w:rPr>
          <w:rFonts w:ascii="Times New Roman" w:hAnsi="Times New Roman" w:cs="Times New Roman"/>
          <w:sz w:val="24"/>
          <w:szCs w:val="24"/>
          <w:lang w:val="en-US"/>
        </w:rPr>
        <w:t>Figure 2 Classes of antihypertensive agents used in patients (n = 383)</w:t>
      </w:r>
    </w:p>
    <w:p w:rsidR="00B22822" w:rsidRPr="003643BD" w:rsidRDefault="00B22822" w:rsidP="00B22822">
      <w:pPr>
        <w:pStyle w:val="NoSpacing"/>
        <w:rPr>
          <w:sz w:val="24"/>
          <w:szCs w:val="24"/>
        </w:rPr>
      </w:pPr>
      <w:r w:rsidRPr="00BE437E">
        <w:rPr>
          <w:sz w:val="24"/>
          <w:szCs w:val="24"/>
        </w:rPr>
        <w:t xml:space="preserve">Note: </w:t>
      </w:r>
      <w:r w:rsidRPr="003643BD">
        <w:rPr>
          <w:sz w:val="24"/>
          <w:szCs w:val="24"/>
        </w:rPr>
        <w:t>A patient may receive more than one antihypertensive agent</w:t>
      </w:r>
    </w:p>
    <w:p w:rsidR="003146C2" w:rsidRDefault="00B22822">
      <w:bookmarkStart w:id="0" w:name="_GoBack"/>
      <w:bookmarkEnd w:id="0"/>
    </w:p>
    <w:sectPr w:rsidR="00314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22"/>
    <w:rsid w:val="007A0464"/>
    <w:rsid w:val="00B22822"/>
    <w:rsid w:val="00B2286C"/>
    <w:rsid w:val="00CC6372"/>
    <w:rsid w:val="00E2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22"/>
    <w:pPr>
      <w:spacing w:after="0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2822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22"/>
    <w:rPr>
      <w:rFonts w:ascii="Tahoma" w:eastAsiaTheme="minorEastAsia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22"/>
    <w:pPr>
      <w:spacing w:after="0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2822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22"/>
    <w:rPr>
      <w:rFonts w:ascii="Tahoma" w:eastAsiaTheme="minorEastAsia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79680098162723"/>
          <c:y val="6.4725614599003944E-2"/>
          <c:w val="0.88450843991010364"/>
          <c:h val="0.777181376066863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CCB</c:v>
                </c:pt>
                <c:pt idx="1">
                  <c:v>ACEi</c:v>
                </c:pt>
                <c:pt idx="2">
                  <c:v>Beta blockers</c:v>
                </c:pt>
                <c:pt idx="3">
                  <c:v>Diuretics</c:v>
                </c:pt>
                <c:pt idx="4">
                  <c:v>ARB</c:v>
                </c:pt>
                <c:pt idx="5">
                  <c:v>Alpha blockers</c:v>
                </c:pt>
                <c:pt idx="6">
                  <c:v>Alpha agonists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29.8</c:v>
                </c:pt>
                <c:pt idx="1">
                  <c:v>21.7</c:v>
                </c:pt>
                <c:pt idx="2">
                  <c:v>18.399999999999999</c:v>
                </c:pt>
                <c:pt idx="3">
                  <c:v>17</c:v>
                </c:pt>
                <c:pt idx="4">
                  <c:v>6.8</c:v>
                </c:pt>
                <c:pt idx="5">
                  <c:v>6</c:v>
                </c:pt>
                <c:pt idx="6">
                  <c:v>0.3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7419776"/>
        <c:axId val="158335360"/>
      </c:barChart>
      <c:catAx>
        <c:axId val="157419776"/>
        <c:scaling>
          <c:orientation val="minMax"/>
        </c:scaling>
        <c:delete val="0"/>
        <c:axPos val="b"/>
        <c:majorTickMark val="none"/>
        <c:minorTickMark val="none"/>
        <c:tickLblPos val="nextTo"/>
        <c:crossAx val="158335360"/>
        <c:crosses val="autoZero"/>
        <c:auto val="1"/>
        <c:lblAlgn val="ctr"/>
        <c:lblOffset val="100"/>
        <c:noMultiLvlLbl val="0"/>
      </c:catAx>
      <c:valAx>
        <c:axId val="15833536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MY"/>
                  <a:t>Percentage (%)</a:t>
                </a:r>
              </a:p>
            </c:rich>
          </c:tx>
          <c:layout>
            <c:manualLayout>
              <c:xMode val="edge"/>
              <c:yMode val="edge"/>
              <c:x val="2.1152338218549695E-2"/>
              <c:y val="0.2399461936694115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74197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2012-08-18T01:47:00Z</dcterms:created>
  <dcterms:modified xsi:type="dcterms:W3CDTF">2012-08-18T01:47:00Z</dcterms:modified>
</cp:coreProperties>
</file>