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69" w:rsidRDefault="008A1F69" w:rsidP="008A1F69">
      <w:pPr>
        <w:pStyle w:val="NoSpacing"/>
        <w:spacing w:line="480" w:lineRule="auto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18577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B36C827" wp14:editId="0FA968B2">
            <wp:extent cx="5267325" cy="2600325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A1F69" w:rsidRDefault="008A1F69" w:rsidP="008A1F69">
      <w:pPr>
        <w:pStyle w:val="NoSpacing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8577F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85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577F">
        <w:rPr>
          <w:rFonts w:ascii="Times New Roman" w:hAnsi="Times New Roman" w:cs="Times New Roman"/>
          <w:noProof/>
          <w:sz w:val="24"/>
          <w:szCs w:val="24"/>
        </w:rPr>
        <w:t>Drugs that were most commonly i</w:t>
      </w:r>
      <w:r>
        <w:rPr>
          <w:rFonts w:ascii="Times New Roman" w:hAnsi="Times New Roman" w:cs="Times New Roman"/>
          <w:noProof/>
          <w:sz w:val="24"/>
          <w:szCs w:val="24"/>
        </w:rPr>
        <w:t>mplicated in drug choice problems</w:t>
      </w:r>
    </w:p>
    <w:p w:rsidR="003146C2" w:rsidRDefault="008A1F69">
      <w:bookmarkStart w:id="0" w:name="_GoBack"/>
      <w:bookmarkEnd w:id="0"/>
    </w:p>
    <w:sectPr w:rsidR="00314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69"/>
    <w:rsid w:val="007A0464"/>
    <w:rsid w:val="008A1F69"/>
    <w:rsid w:val="00B2286C"/>
    <w:rsid w:val="00CC6372"/>
    <w:rsid w:val="00E2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1F69"/>
    <w:pPr>
      <w:spacing w:after="0" w:line="240" w:lineRule="auto"/>
    </w:pPr>
    <w:rPr>
      <w:rFonts w:eastAsiaTheme="minorEastAsia"/>
      <w:lang w:val="ms-MY" w:eastAsia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1F69"/>
    <w:pPr>
      <w:spacing w:after="0" w:line="240" w:lineRule="auto"/>
    </w:pPr>
    <w:rPr>
      <w:rFonts w:eastAsiaTheme="minorEastAsia"/>
      <w:lang w:val="ms-MY" w:eastAsia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41587056167243"/>
          <c:y val="1.2714906986991591E-2"/>
          <c:w val="0.75187299241024463"/>
          <c:h val="0.84878508716362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Frequency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Metformin</c:v>
                </c:pt>
                <c:pt idx="1">
                  <c:v>Aspirin</c:v>
                </c:pt>
                <c:pt idx="2">
                  <c:v>Gliclazide</c:v>
                </c:pt>
                <c:pt idx="3">
                  <c:v>Epoetin beta</c:v>
                </c:pt>
                <c:pt idx="4">
                  <c:v>Fondaparinux</c:v>
                </c:pt>
                <c:pt idx="5">
                  <c:v>Ticlopidine</c:v>
                </c:pt>
                <c:pt idx="6">
                  <c:v>Perindopril</c:v>
                </c:pt>
                <c:pt idx="7">
                  <c:v>Prazosin</c:v>
                </c:pt>
                <c:pt idx="8">
                  <c:v>Doxazosin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19</c:v>
                </c:pt>
                <c:pt idx="1">
                  <c:v>11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-1"/>
        <c:axId val="92670592"/>
        <c:axId val="92709632"/>
      </c:barChart>
      <c:catAx>
        <c:axId val="92670592"/>
        <c:scaling>
          <c:orientation val="minMax"/>
        </c:scaling>
        <c:delete val="0"/>
        <c:axPos val="l"/>
        <c:majorTickMark val="none"/>
        <c:minorTickMark val="none"/>
        <c:tickLblPos val="nextTo"/>
        <c:crossAx val="92709632"/>
        <c:crosses val="autoZero"/>
        <c:auto val="1"/>
        <c:lblAlgn val="ctr"/>
        <c:lblOffset val="100"/>
        <c:noMultiLvlLbl val="0"/>
      </c:catAx>
      <c:valAx>
        <c:axId val="92709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26705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716321212827812"/>
          <c:y val="0.93878937605961099"/>
          <c:w val="0.18087733616179882"/>
          <c:h val="6.121062394038905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2012-08-18T01:51:00Z</dcterms:created>
  <dcterms:modified xsi:type="dcterms:W3CDTF">2012-08-18T01:51:00Z</dcterms:modified>
</cp:coreProperties>
</file>