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87" w:rsidRPr="0018577F" w:rsidRDefault="00C91B87" w:rsidP="00C91B87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18577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64C1559" wp14:editId="2FDBA6B0">
            <wp:extent cx="5208998" cy="383226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91B87" w:rsidRDefault="00C91B87" w:rsidP="00C91B8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91B87" w:rsidRDefault="00C91B87" w:rsidP="00C91B87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18577F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8577F">
        <w:rPr>
          <w:rFonts w:ascii="Times New Roman" w:hAnsi="Times New Roman" w:cs="Times New Roman"/>
          <w:sz w:val="24"/>
          <w:szCs w:val="24"/>
          <w:lang w:val="en-US"/>
        </w:rPr>
        <w:t xml:space="preserve"> Drug-pairs that were most likely to be involved in</w:t>
      </w:r>
      <w:r w:rsidRPr="0018577F">
        <w:rPr>
          <w:rFonts w:ascii="Times New Roman" w:hAnsi="Times New Roman" w:cs="Times New Roman"/>
          <w:noProof/>
          <w:sz w:val="24"/>
          <w:szCs w:val="24"/>
        </w:rPr>
        <w:t xml:space="preserve"> potential drug interactions </w:t>
      </w:r>
    </w:p>
    <w:p w:rsidR="00C91B87" w:rsidRDefault="00C91B87" w:rsidP="00C91B8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 w:eastAsia="ms-MY"/>
        </w:rPr>
      </w:pPr>
      <w:r w:rsidRPr="003643BD">
        <w:rPr>
          <w:rFonts w:ascii="Times New Roman" w:hAnsi="Times New Roman" w:cs="Times New Roman"/>
          <w:noProof/>
          <w:sz w:val="24"/>
          <w:szCs w:val="24"/>
          <w:lang w:val="en-US" w:eastAsia="ms-MY"/>
        </w:rPr>
        <w:t>*OHA = gliclazide, metformin and sitagliptin</w:t>
      </w:r>
    </w:p>
    <w:p w:rsidR="003146C2" w:rsidRDefault="00C91B87">
      <w:bookmarkStart w:id="0" w:name="_GoBack"/>
      <w:bookmarkEnd w:id="0"/>
    </w:p>
    <w:sectPr w:rsidR="0031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87"/>
    <w:rsid w:val="007A0464"/>
    <w:rsid w:val="00B2286C"/>
    <w:rsid w:val="00C91B87"/>
    <w:rsid w:val="00CC6372"/>
    <w:rsid w:val="00E2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B87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B87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B87"/>
    <w:rPr>
      <w:rFonts w:ascii="Tahoma" w:eastAsiaTheme="minorEastAsia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B87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B87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B87"/>
    <w:rPr>
      <w:rFonts w:ascii="Tahoma" w:eastAsiaTheme="minorEastAsia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951126145332916"/>
          <c:y val="4.656084656084656E-2"/>
          <c:w val="0.63245805708056357"/>
          <c:h val="0.787211265258509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cases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Aspirin and clopidogrel</c:v>
                </c:pt>
                <c:pt idx="1">
                  <c:v>Simvastatin and amlodipine</c:v>
                </c:pt>
                <c:pt idx="2">
                  <c:v>Omeprazole and iron salts</c:v>
                </c:pt>
                <c:pt idx="3">
                  <c:v>Omeprazole and clopidogrel</c:v>
                </c:pt>
                <c:pt idx="4">
                  <c:v>Statin and fibrate</c:v>
                </c:pt>
                <c:pt idx="5">
                  <c:v>Aspirin and heparin</c:v>
                </c:pt>
                <c:pt idx="6">
                  <c:v>Prednisolone and OHA*</c:v>
                </c:pt>
                <c:pt idx="7">
                  <c:v>Levothyroxine and iron salts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25</c:v>
                </c:pt>
                <c:pt idx="1">
                  <c:v>14</c:v>
                </c:pt>
                <c:pt idx="2">
                  <c:v>7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33666304"/>
        <c:axId val="133668224"/>
      </c:barChart>
      <c:catAx>
        <c:axId val="133666304"/>
        <c:scaling>
          <c:orientation val="minMax"/>
        </c:scaling>
        <c:delete val="0"/>
        <c:axPos val="l"/>
        <c:majorTickMark val="none"/>
        <c:minorTickMark val="none"/>
        <c:tickLblPos val="nextTo"/>
        <c:crossAx val="133668224"/>
        <c:crosses val="autoZero"/>
        <c:auto val="1"/>
        <c:lblAlgn val="ctr"/>
        <c:lblOffset val="100"/>
        <c:noMultiLvlLbl val="0"/>
      </c:catAx>
      <c:valAx>
        <c:axId val="13366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3666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749986267352859"/>
          <c:y val="0.91504064814763364"/>
          <c:w val="0.24500008523712019"/>
          <c:h val="8.4959351852366374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2012-08-18T01:52:00Z</dcterms:created>
  <dcterms:modified xsi:type="dcterms:W3CDTF">2012-08-18T01:52:00Z</dcterms:modified>
</cp:coreProperties>
</file>