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06F" w:rsidRPr="00316D4F" w:rsidRDefault="00C9106F" w:rsidP="00C9106F">
      <w:pPr>
        <w:spacing w:before="60" w:after="6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16D4F">
        <w:rPr>
          <w:rFonts w:ascii="Arial" w:hAnsi="Arial" w:cs="Arial"/>
          <w:sz w:val="20"/>
          <w:szCs w:val="20"/>
          <w:lang w:val="en-US"/>
        </w:rPr>
        <w:t xml:space="preserve">Table 1: </w:t>
      </w:r>
      <w:r w:rsidR="005A464D">
        <w:rPr>
          <w:rFonts w:ascii="Arial" w:hAnsi="Arial" w:cs="Arial"/>
          <w:sz w:val="20"/>
          <w:szCs w:val="20"/>
          <w:lang w:val="en-US"/>
        </w:rPr>
        <w:t>Risk of bias</w:t>
      </w:r>
      <w:r w:rsidR="005A464D" w:rsidRPr="00316D4F">
        <w:rPr>
          <w:rFonts w:ascii="Arial" w:hAnsi="Arial" w:cs="Arial"/>
          <w:sz w:val="20"/>
          <w:szCs w:val="20"/>
          <w:lang w:val="en-US"/>
        </w:rPr>
        <w:t xml:space="preserve"> </w:t>
      </w:r>
      <w:r w:rsidRPr="00316D4F">
        <w:rPr>
          <w:rFonts w:ascii="Arial" w:hAnsi="Arial" w:cs="Arial"/>
          <w:sz w:val="20"/>
          <w:szCs w:val="20"/>
          <w:lang w:val="en-US"/>
        </w:rPr>
        <w:t xml:space="preserve">of included </w:t>
      </w:r>
      <w:r>
        <w:rPr>
          <w:rFonts w:ascii="Arial" w:hAnsi="Arial" w:cs="Arial"/>
          <w:sz w:val="20"/>
          <w:szCs w:val="20"/>
          <w:lang w:val="en-US"/>
        </w:rPr>
        <w:t>trials</w:t>
      </w:r>
    </w:p>
    <w:tbl>
      <w:tblPr>
        <w:tblStyle w:val="Tabellenraster"/>
        <w:tblW w:w="12866" w:type="dxa"/>
        <w:tblLook w:val="04A0" w:firstRow="1" w:lastRow="0" w:firstColumn="1" w:lastColumn="0" w:noHBand="0" w:noVBand="1"/>
      </w:tblPr>
      <w:tblGrid>
        <w:gridCol w:w="2660"/>
        <w:gridCol w:w="1462"/>
        <w:gridCol w:w="1373"/>
        <w:gridCol w:w="1559"/>
        <w:gridCol w:w="1985"/>
        <w:gridCol w:w="1701"/>
        <w:gridCol w:w="2126"/>
      </w:tblGrid>
      <w:tr w:rsidR="00C9106F" w:rsidRPr="00775F79" w:rsidTr="00D53F2C">
        <w:tc>
          <w:tcPr>
            <w:tcW w:w="2660" w:type="dxa"/>
          </w:tcPr>
          <w:p w:rsidR="00C9106F" w:rsidRPr="00775F79" w:rsidRDefault="00C9106F" w:rsidP="00D53F2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Study</w:t>
            </w:r>
          </w:p>
        </w:tc>
        <w:tc>
          <w:tcPr>
            <w:tcW w:w="1462" w:type="dxa"/>
          </w:tcPr>
          <w:p w:rsidR="00C9106F" w:rsidRPr="00775F79" w:rsidRDefault="00C9106F" w:rsidP="00D53F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775F79">
              <w:rPr>
                <w:rFonts w:ascii="Arial" w:hAnsi="Arial" w:cs="Arial"/>
                <w:sz w:val="20"/>
                <w:szCs w:val="20"/>
                <w:lang w:val="en-US"/>
              </w:rPr>
              <w:t>Adepu</w:t>
            </w:r>
            <w:proofErr w:type="spellEnd"/>
            <w:r w:rsidRPr="00775F79">
              <w:rPr>
                <w:rFonts w:ascii="Arial" w:hAnsi="Arial" w:cs="Arial"/>
                <w:sz w:val="20"/>
                <w:szCs w:val="20"/>
                <w:lang w:val="en-US"/>
              </w:rPr>
              <w:t xml:space="preserve"> (2010)</w:t>
            </w:r>
          </w:p>
        </w:tc>
        <w:tc>
          <w:tcPr>
            <w:tcW w:w="1373" w:type="dxa"/>
          </w:tcPr>
          <w:p w:rsidR="00C9106F" w:rsidRPr="00775F79" w:rsidRDefault="00C9106F" w:rsidP="00D53F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75F79">
              <w:rPr>
                <w:rFonts w:ascii="Arial" w:hAnsi="Arial" w:cs="Arial"/>
                <w:sz w:val="20"/>
                <w:szCs w:val="20"/>
                <w:lang w:val="en-US"/>
              </w:rPr>
              <w:t>Grant (2003)</w:t>
            </w:r>
          </w:p>
        </w:tc>
        <w:tc>
          <w:tcPr>
            <w:tcW w:w="1559" w:type="dxa"/>
          </w:tcPr>
          <w:p w:rsidR="00C9106F" w:rsidRPr="00775F79" w:rsidRDefault="00C9106F" w:rsidP="00D53F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775F79">
              <w:rPr>
                <w:rFonts w:ascii="Arial" w:hAnsi="Arial" w:cs="Arial"/>
                <w:sz w:val="20"/>
                <w:szCs w:val="20"/>
                <w:lang w:val="en-US"/>
              </w:rPr>
              <w:t>Mehuys</w:t>
            </w:r>
            <w:proofErr w:type="spellEnd"/>
            <w:r w:rsidRPr="00775F79">
              <w:rPr>
                <w:rFonts w:ascii="Arial" w:hAnsi="Arial" w:cs="Arial"/>
                <w:sz w:val="20"/>
                <w:szCs w:val="20"/>
                <w:lang w:val="en-US"/>
              </w:rPr>
              <w:t xml:space="preserve"> (201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775F7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</w:tcPr>
          <w:p w:rsidR="00C9106F" w:rsidRPr="00775F79" w:rsidRDefault="00C9106F" w:rsidP="00D53F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775F79">
              <w:rPr>
                <w:rFonts w:ascii="Arial" w:hAnsi="Arial" w:cs="Arial"/>
                <w:sz w:val="20"/>
                <w:szCs w:val="20"/>
                <w:lang w:val="en-US"/>
              </w:rPr>
              <w:t>Obreli-Neto</w:t>
            </w:r>
            <w:proofErr w:type="spellEnd"/>
            <w:r w:rsidRPr="00775F79">
              <w:rPr>
                <w:rFonts w:ascii="Arial" w:hAnsi="Arial" w:cs="Arial"/>
                <w:sz w:val="20"/>
                <w:szCs w:val="20"/>
                <w:lang w:val="en-US"/>
              </w:rPr>
              <w:t xml:space="preserve"> (2011)</w:t>
            </w:r>
          </w:p>
        </w:tc>
        <w:tc>
          <w:tcPr>
            <w:tcW w:w="1701" w:type="dxa"/>
          </w:tcPr>
          <w:p w:rsidR="00C9106F" w:rsidRPr="00775F79" w:rsidRDefault="00C9106F" w:rsidP="00D53F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775F79">
              <w:rPr>
                <w:rFonts w:ascii="Arial" w:hAnsi="Arial" w:cs="Arial"/>
                <w:sz w:val="20"/>
                <w:szCs w:val="20"/>
                <w:lang w:val="en-US"/>
              </w:rPr>
              <w:t>Odegard</w:t>
            </w:r>
            <w:proofErr w:type="spellEnd"/>
            <w:r w:rsidRPr="00775F79">
              <w:rPr>
                <w:rFonts w:ascii="Arial" w:hAnsi="Arial" w:cs="Arial"/>
                <w:sz w:val="20"/>
                <w:szCs w:val="20"/>
                <w:lang w:val="en-US"/>
              </w:rPr>
              <w:t xml:space="preserve"> (2005)</w:t>
            </w:r>
          </w:p>
        </w:tc>
        <w:tc>
          <w:tcPr>
            <w:tcW w:w="2126" w:type="dxa"/>
          </w:tcPr>
          <w:p w:rsidR="00C9106F" w:rsidRPr="00775F79" w:rsidRDefault="00C9106F" w:rsidP="00D53F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775F79">
              <w:rPr>
                <w:rFonts w:ascii="Arial" w:hAnsi="Arial" w:cs="Arial"/>
                <w:sz w:val="20"/>
                <w:szCs w:val="20"/>
                <w:lang w:val="en-US"/>
              </w:rPr>
              <w:t>Phumipamo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rn</w:t>
            </w:r>
            <w:proofErr w:type="spellEnd"/>
            <w:r w:rsidRPr="00775F79">
              <w:rPr>
                <w:rFonts w:ascii="Arial" w:hAnsi="Arial" w:cs="Arial"/>
                <w:sz w:val="20"/>
                <w:szCs w:val="20"/>
                <w:lang w:val="en-US"/>
              </w:rPr>
              <w:t xml:space="preserve"> (2008)</w:t>
            </w:r>
          </w:p>
        </w:tc>
      </w:tr>
      <w:tr w:rsidR="00C9106F" w:rsidRPr="00775F79" w:rsidTr="00D53F2C">
        <w:tc>
          <w:tcPr>
            <w:tcW w:w="2660" w:type="dxa"/>
          </w:tcPr>
          <w:p w:rsidR="00C9106F" w:rsidRPr="00775F79" w:rsidRDefault="00C9106F" w:rsidP="00D53F2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Random generation of allocation sequence</w:t>
            </w:r>
          </w:p>
        </w:tc>
        <w:tc>
          <w:tcPr>
            <w:tcW w:w="1462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73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</w:p>
        </w:tc>
        <w:tc>
          <w:tcPr>
            <w:tcW w:w="1985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2126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</w:p>
        </w:tc>
      </w:tr>
      <w:tr w:rsidR="00C9106F" w:rsidRPr="00775F79" w:rsidTr="00D53F2C">
        <w:tc>
          <w:tcPr>
            <w:tcW w:w="2660" w:type="dxa"/>
          </w:tcPr>
          <w:p w:rsidR="00C9106F" w:rsidRPr="00775F79" w:rsidRDefault="00C9106F" w:rsidP="00D53F2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Allocation concealment</w:t>
            </w:r>
          </w:p>
        </w:tc>
        <w:tc>
          <w:tcPr>
            <w:tcW w:w="1462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73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</w:p>
        </w:tc>
        <w:tc>
          <w:tcPr>
            <w:tcW w:w="1985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2126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106F" w:rsidRPr="00775F79" w:rsidTr="00D53F2C">
        <w:tc>
          <w:tcPr>
            <w:tcW w:w="2660" w:type="dxa"/>
          </w:tcPr>
          <w:p w:rsidR="00C9106F" w:rsidRPr="00775F79" w:rsidRDefault="00C9106F" w:rsidP="00D53F2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Blinding of outcome assessment</w:t>
            </w:r>
          </w:p>
        </w:tc>
        <w:tc>
          <w:tcPr>
            <w:tcW w:w="1462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73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985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</w:p>
        </w:tc>
        <w:tc>
          <w:tcPr>
            <w:tcW w:w="1701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2126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106F" w:rsidRPr="00E62D66" w:rsidTr="00D53F2C">
        <w:tc>
          <w:tcPr>
            <w:tcW w:w="2660" w:type="dxa"/>
          </w:tcPr>
          <w:p w:rsidR="00C9106F" w:rsidRPr="00775F79" w:rsidRDefault="00C9106F" w:rsidP="00D53F2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Analysis according to intention-to-treat</w:t>
            </w:r>
          </w:p>
        </w:tc>
        <w:tc>
          <w:tcPr>
            <w:tcW w:w="1462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73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</w:p>
        </w:tc>
        <w:tc>
          <w:tcPr>
            <w:tcW w:w="1985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</w:p>
        </w:tc>
        <w:tc>
          <w:tcPr>
            <w:tcW w:w="1701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</w:p>
        </w:tc>
        <w:tc>
          <w:tcPr>
            <w:tcW w:w="2126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106F" w:rsidRPr="00E62D66" w:rsidTr="00D53F2C">
        <w:tc>
          <w:tcPr>
            <w:tcW w:w="2660" w:type="dxa"/>
          </w:tcPr>
          <w:p w:rsidR="00C9106F" w:rsidRPr="00775F79" w:rsidRDefault="00C9106F" w:rsidP="00D53F2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Selective reporting</w:t>
            </w:r>
          </w:p>
        </w:tc>
        <w:tc>
          <w:tcPr>
            <w:tcW w:w="1462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73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</w:p>
        </w:tc>
        <w:tc>
          <w:tcPr>
            <w:tcW w:w="1985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</w:p>
        </w:tc>
        <w:tc>
          <w:tcPr>
            <w:tcW w:w="2126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106F" w:rsidRPr="00E62D66" w:rsidTr="00D53F2C">
        <w:trPr>
          <w:trHeight w:val="123"/>
        </w:trPr>
        <w:tc>
          <w:tcPr>
            <w:tcW w:w="2660" w:type="dxa"/>
          </w:tcPr>
          <w:p w:rsidR="00C9106F" w:rsidRPr="00775F79" w:rsidRDefault="00C9106F" w:rsidP="00D53F2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Other sources of bias</w:t>
            </w:r>
          </w:p>
        </w:tc>
        <w:tc>
          <w:tcPr>
            <w:tcW w:w="1462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</w:p>
        </w:tc>
        <w:tc>
          <w:tcPr>
            <w:tcW w:w="1373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+</w:t>
            </w:r>
          </w:p>
        </w:tc>
        <w:tc>
          <w:tcPr>
            <w:tcW w:w="1985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2126" w:type="dxa"/>
          </w:tcPr>
          <w:p w:rsidR="00C9106F" w:rsidRPr="00775F79" w:rsidRDefault="00C9106F" w:rsidP="00D53F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</w:tbl>
    <w:p w:rsidR="00C9106F" w:rsidRPr="00E62D66" w:rsidRDefault="00C9106F" w:rsidP="00C9106F">
      <w:pPr>
        <w:spacing w:before="60" w:after="6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62D66">
        <w:rPr>
          <w:rFonts w:ascii="Arial" w:hAnsi="Arial" w:cs="Arial"/>
          <w:b/>
          <w:sz w:val="20"/>
          <w:szCs w:val="20"/>
          <w:lang w:val="en-US"/>
        </w:rPr>
        <w:t>+</w:t>
      </w:r>
      <w:r w:rsidRPr="00E62D66">
        <w:rPr>
          <w:rFonts w:ascii="Arial" w:hAnsi="Arial" w:cs="Arial"/>
          <w:sz w:val="20"/>
          <w:szCs w:val="20"/>
          <w:lang w:val="en-US"/>
        </w:rPr>
        <w:t xml:space="preserve"> fulfilled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 w:rsidRPr="00E62D66">
        <w:rPr>
          <w:rFonts w:ascii="Arial" w:hAnsi="Arial" w:cs="Arial"/>
          <w:b/>
          <w:sz w:val="20"/>
          <w:szCs w:val="20"/>
          <w:lang w:val="en-US"/>
        </w:rPr>
        <w:t>-</w:t>
      </w:r>
      <w:r w:rsidRPr="00E62D66">
        <w:rPr>
          <w:rFonts w:ascii="Arial" w:hAnsi="Arial" w:cs="Arial"/>
          <w:sz w:val="20"/>
          <w:szCs w:val="20"/>
          <w:lang w:val="en-US"/>
        </w:rPr>
        <w:t xml:space="preserve"> not fulfilled</w:t>
      </w:r>
    </w:p>
    <w:p w:rsidR="00EF5B5E" w:rsidRDefault="00EF5B5E">
      <w:bookmarkStart w:id="0" w:name="_GoBack"/>
      <w:bookmarkEnd w:id="0"/>
    </w:p>
    <w:sectPr w:rsidR="00EF5B5E" w:rsidSect="00C9106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5C"/>
    <w:rsid w:val="004923C3"/>
    <w:rsid w:val="005A464D"/>
    <w:rsid w:val="006D48E7"/>
    <w:rsid w:val="00940C65"/>
    <w:rsid w:val="00C17F0F"/>
    <w:rsid w:val="00C9106F"/>
    <w:rsid w:val="00EB0581"/>
    <w:rsid w:val="00EF5B5E"/>
    <w:rsid w:val="00FC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106F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9106F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17F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7F0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7F0F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7F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7F0F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7F0F"/>
    <w:rPr>
      <w:rFonts w:ascii="Tahoma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106F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9106F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17F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7F0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7F0F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7F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7F0F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7F0F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Antoine, Sunya-Lee</dc:creator>
  <cp:lastModifiedBy>Antoine, Sunya-Lee</cp:lastModifiedBy>
  <cp:revision>2</cp:revision>
  <dcterms:created xsi:type="dcterms:W3CDTF">2014-06-17T07:21:00Z</dcterms:created>
  <dcterms:modified xsi:type="dcterms:W3CDTF">2014-06-17T07:21:00Z</dcterms:modified>
</cp:coreProperties>
</file>