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CF0" w:rsidRDefault="00C53CF0" w:rsidP="00C53CF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 3 Lowest Post-Course Confidence Levels for Individual Items (SHA Confidence Questionnaire Items)</w:t>
      </w:r>
    </w:p>
    <w:p w:rsidR="00C53CF0" w:rsidRDefault="00C53CF0" w:rsidP="00C53CF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30861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898152" cy="3827417"/>
            <wp:effectExtent l="19050" t="0" r="26398" b="1633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53CF0" w:rsidRPr="00853927" w:rsidRDefault="00C53CF0" w:rsidP="00C53CF0">
      <w:pPr>
        <w:spacing w:line="240" w:lineRule="auto"/>
        <w:ind w:left="720" w:hanging="72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 xml:space="preserve">Key: </w:t>
      </w:r>
      <w:r>
        <w:rPr>
          <w:rFonts w:ascii="Times New Roman" w:hAnsi="Times New Roman"/>
          <w:b/>
          <w:sz w:val="24"/>
          <w:szCs w:val="24"/>
        </w:rPr>
        <w:tab/>
      </w:r>
      <w:r w:rsidRPr="00853927">
        <w:rPr>
          <w:rFonts w:ascii="Times New Roman" w:hAnsi="Times New Roman"/>
          <w:b/>
          <w:sz w:val="20"/>
          <w:szCs w:val="20"/>
        </w:rPr>
        <w:t>ACP2</w:t>
      </w:r>
      <w:r w:rsidRPr="00853927">
        <w:rPr>
          <w:rFonts w:ascii="Times New Roman" w:hAnsi="Times New Roman"/>
          <w:b/>
          <w:sz w:val="20"/>
          <w:szCs w:val="20"/>
        </w:rPr>
        <w:tab/>
      </w:r>
      <w:r w:rsidRPr="00853927">
        <w:rPr>
          <w:rFonts w:ascii="Times New Roman" w:hAnsi="Times New Roman"/>
          <w:sz w:val="20"/>
          <w:szCs w:val="20"/>
        </w:rPr>
        <w:t>Uses documentation, whether paper or electronic, appropriately to access inform and record end of life care planning and delivery succinctly and legibly as per NMC Guidance (NMC 2008)</w:t>
      </w:r>
      <w:r w:rsidRPr="00853927">
        <w:rPr>
          <w:rFonts w:ascii="Times New Roman" w:hAnsi="Times New Roman"/>
          <w:b/>
          <w:sz w:val="20"/>
          <w:szCs w:val="20"/>
        </w:rPr>
        <w:tab/>
      </w:r>
    </w:p>
    <w:p w:rsidR="00C53CF0" w:rsidRPr="00853927" w:rsidRDefault="00C53CF0" w:rsidP="00C53CF0">
      <w:pPr>
        <w:spacing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853927">
        <w:rPr>
          <w:rFonts w:ascii="Times New Roman" w:hAnsi="Times New Roman"/>
          <w:b/>
          <w:sz w:val="20"/>
          <w:szCs w:val="20"/>
        </w:rPr>
        <w:tab/>
        <w:t>ACP3</w:t>
      </w:r>
      <w:r w:rsidRPr="00853927">
        <w:rPr>
          <w:rFonts w:ascii="Times New Roman" w:hAnsi="Times New Roman"/>
          <w:b/>
          <w:sz w:val="20"/>
          <w:szCs w:val="20"/>
        </w:rPr>
        <w:tab/>
      </w:r>
      <w:r w:rsidRPr="00853927">
        <w:rPr>
          <w:rFonts w:ascii="Times New Roman" w:hAnsi="Times New Roman"/>
          <w:sz w:val="20"/>
          <w:szCs w:val="20"/>
        </w:rPr>
        <w:t>Is involved in advance care planning as an on-going process,</w:t>
      </w:r>
    </w:p>
    <w:p w:rsidR="00C53CF0" w:rsidRPr="00853927" w:rsidRDefault="00C53CF0" w:rsidP="00C53CF0">
      <w:pPr>
        <w:spacing w:line="240" w:lineRule="auto"/>
        <w:ind w:left="720" w:hanging="720"/>
        <w:jc w:val="both"/>
        <w:rPr>
          <w:rFonts w:ascii="Times New Roman" w:hAnsi="Times New Roman"/>
          <w:b/>
          <w:sz w:val="20"/>
          <w:szCs w:val="20"/>
        </w:rPr>
      </w:pPr>
      <w:r w:rsidRPr="00853927">
        <w:rPr>
          <w:rFonts w:ascii="Times New Roman" w:hAnsi="Times New Roman"/>
          <w:b/>
          <w:sz w:val="20"/>
          <w:szCs w:val="20"/>
        </w:rPr>
        <w:tab/>
        <w:t>ACP5</w:t>
      </w:r>
      <w:r w:rsidRPr="00853927">
        <w:rPr>
          <w:rFonts w:ascii="Times New Roman" w:hAnsi="Times New Roman"/>
          <w:b/>
          <w:sz w:val="20"/>
          <w:szCs w:val="20"/>
        </w:rPr>
        <w:tab/>
      </w:r>
      <w:r w:rsidRPr="00853927">
        <w:rPr>
          <w:rFonts w:ascii="Times New Roman" w:hAnsi="Times New Roman"/>
          <w:sz w:val="20"/>
          <w:szCs w:val="20"/>
        </w:rPr>
        <w:t>Identifies the principals of the Gold Standards Framework and works with colleagues and patients to deliver care in this framework</w:t>
      </w:r>
      <w:r w:rsidRPr="00853927">
        <w:rPr>
          <w:rFonts w:ascii="Times New Roman" w:hAnsi="Times New Roman"/>
          <w:b/>
          <w:sz w:val="20"/>
          <w:szCs w:val="20"/>
        </w:rPr>
        <w:tab/>
      </w:r>
    </w:p>
    <w:p w:rsidR="00C53CF0" w:rsidRPr="00853927" w:rsidRDefault="00C53CF0" w:rsidP="00C53CF0">
      <w:pPr>
        <w:spacing w:line="240" w:lineRule="auto"/>
        <w:ind w:left="720"/>
        <w:rPr>
          <w:rFonts w:ascii="Times New Roman" w:hAnsi="Times New Roman"/>
          <w:sz w:val="20"/>
          <w:szCs w:val="20"/>
        </w:rPr>
      </w:pPr>
      <w:r w:rsidRPr="00853927">
        <w:rPr>
          <w:rFonts w:ascii="Times New Roman" w:hAnsi="Times New Roman"/>
          <w:b/>
          <w:sz w:val="20"/>
          <w:szCs w:val="20"/>
        </w:rPr>
        <w:t>ACP4</w:t>
      </w:r>
      <w:r w:rsidRPr="00853927">
        <w:rPr>
          <w:rFonts w:ascii="Times New Roman" w:hAnsi="Times New Roman"/>
          <w:sz w:val="20"/>
          <w:szCs w:val="20"/>
        </w:rPr>
        <w:t xml:space="preserve"> Can state their understanding of different elements of Advance care planning: Advance Statement; Advance decision to refuse treatment (ADRT); Best Interests; Lasting power of attorney; Finance and welfare; Informed consent.</w:t>
      </w:r>
    </w:p>
    <w:p w:rsidR="00C53CF0" w:rsidRPr="00853927" w:rsidRDefault="00C53CF0" w:rsidP="00C53CF0">
      <w:pPr>
        <w:spacing w:line="240" w:lineRule="auto"/>
        <w:ind w:left="720"/>
        <w:jc w:val="both"/>
        <w:rPr>
          <w:rFonts w:ascii="Times New Roman" w:hAnsi="Times New Roman"/>
          <w:b/>
          <w:sz w:val="20"/>
          <w:szCs w:val="20"/>
        </w:rPr>
      </w:pPr>
      <w:r w:rsidRPr="00853927">
        <w:rPr>
          <w:rFonts w:ascii="Times New Roman" w:hAnsi="Times New Roman"/>
          <w:b/>
          <w:sz w:val="20"/>
          <w:szCs w:val="20"/>
        </w:rPr>
        <w:t xml:space="preserve">ACP6 </w:t>
      </w:r>
      <w:r w:rsidRPr="00853927">
        <w:rPr>
          <w:rFonts w:ascii="Times New Roman" w:hAnsi="Times New Roman"/>
          <w:sz w:val="20"/>
          <w:szCs w:val="20"/>
        </w:rPr>
        <w:t xml:space="preserve">Contributes to the team’s assessment in </w:t>
      </w:r>
      <w:proofErr w:type="spellStart"/>
      <w:r w:rsidRPr="00853927">
        <w:rPr>
          <w:rFonts w:ascii="Times New Roman" w:hAnsi="Times New Roman"/>
          <w:sz w:val="20"/>
          <w:szCs w:val="20"/>
        </w:rPr>
        <w:t>recognising</w:t>
      </w:r>
      <w:proofErr w:type="spellEnd"/>
      <w:r w:rsidRPr="00853927">
        <w:rPr>
          <w:rFonts w:ascii="Times New Roman" w:hAnsi="Times New Roman"/>
          <w:sz w:val="20"/>
          <w:szCs w:val="20"/>
        </w:rPr>
        <w:t xml:space="preserve"> the dying phase and works with colleagues, patients and relatives to introduce the Liverpool Care Pathway.</w:t>
      </w:r>
    </w:p>
    <w:p w:rsidR="00C53CF0" w:rsidRDefault="00C53CF0" w:rsidP="00C53CF0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55223" w:rsidRDefault="00055223"/>
    <w:sectPr w:rsidR="00055223" w:rsidSect="000552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20"/>
  <w:characterSpacingControl w:val="doNotCompress"/>
  <w:compat/>
  <w:rsids>
    <w:rsidRoot w:val="00C53CF0"/>
    <w:rsid w:val="00055223"/>
    <w:rsid w:val="00A31620"/>
    <w:rsid w:val="00C53CF0"/>
    <w:rsid w:val="00D50199"/>
    <w:rsid w:val="00EF0DD7"/>
    <w:rsid w:val="00EF1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CF0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CF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Academic\CLAHRC\EoL%20study\Data\SW%20and%20KW%20dat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'Items from pre and post q'!$M$2</c:f>
              <c:strCache>
                <c:ptCount val="1"/>
                <c:pt idx="0">
                  <c:v>Pre-course</c:v>
                </c:pt>
              </c:strCache>
            </c:strRef>
          </c:tx>
          <c:cat>
            <c:strRef>
              <c:f>'Items from pre and post q'!$L$3:$L$8</c:f>
              <c:strCache>
                <c:ptCount val="6"/>
                <c:pt idx="0">
                  <c:v>ACP2</c:v>
                </c:pt>
                <c:pt idx="1">
                  <c:v>ACP3</c:v>
                </c:pt>
                <c:pt idx="2">
                  <c:v>ACP5</c:v>
                </c:pt>
                <c:pt idx="3">
                  <c:v>ACP4</c:v>
                </c:pt>
                <c:pt idx="4">
                  <c:v>ACP6</c:v>
                </c:pt>
                <c:pt idx="5">
                  <c:v>Average</c:v>
                </c:pt>
              </c:strCache>
            </c:strRef>
          </c:cat>
          <c:val>
            <c:numRef>
              <c:f>'Items from pre and post q'!$M$3:$M$8</c:f>
              <c:numCache>
                <c:formatCode>General</c:formatCode>
                <c:ptCount val="6"/>
                <c:pt idx="0">
                  <c:v>2.2999999999999998</c:v>
                </c:pt>
                <c:pt idx="1">
                  <c:v>2.5</c:v>
                </c:pt>
                <c:pt idx="2">
                  <c:v>1.9000000000000001</c:v>
                </c:pt>
                <c:pt idx="3">
                  <c:v>2.2999999999999998</c:v>
                </c:pt>
                <c:pt idx="4">
                  <c:v>1.7</c:v>
                </c:pt>
                <c:pt idx="5">
                  <c:v>2.7</c:v>
                </c:pt>
              </c:numCache>
            </c:numRef>
          </c:val>
        </c:ser>
        <c:ser>
          <c:idx val="1"/>
          <c:order val="1"/>
          <c:tx>
            <c:strRef>
              <c:f>'Items from pre and post q'!$N$2</c:f>
              <c:strCache>
                <c:ptCount val="1"/>
                <c:pt idx="0">
                  <c:v>Post-course</c:v>
                </c:pt>
              </c:strCache>
            </c:strRef>
          </c:tx>
          <c:cat>
            <c:strRef>
              <c:f>'Items from pre and post q'!$L$3:$L$8</c:f>
              <c:strCache>
                <c:ptCount val="6"/>
                <c:pt idx="0">
                  <c:v>ACP2</c:v>
                </c:pt>
                <c:pt idx="1">
                  <c:v>ACP3</c:v>
                </c:pt>
                <c:pt idx="2">
                  <c:v>ACP5</c:v>
                </c:pt>
                <c:pt idx="3">
                  <c:v>ACP4</c:v>
                </c:pt>
                <c:pt idx="4">
                  <c:v>ACP6</c:v>
                </c:pt>
                <c:pt idx="5">
                  <c:v>Average</c:v>
                </c:pt>
              </c:strCache>
            </c:strRef>
          </c:cat>
          <c:val>
            <c:numRef>
              <c:f>'Items from pre and post q'!$N$3:$N$8</c:f>
              <c:numCache>
                <c:formatCode>General</c:formatCode>
                <c:ptCount val="6"/>
                <c:pt idx="0">
                  <c:v>3</c:v>
                </c:pt>
                <c:pt idx="1">
                  <c:v>3.1</c:v>
                </c:pt>
                <c:pt idx="2">
                  <c:v>3.1</c:v>
                </c:pt>
                <c:pt idx="3">
                  <c:v>3.2</c:v>
                </c:pt>
                <c:pt idx="4">
                  <c:v>3.2</c:v>
                </c:pt>
                <c:pt idx="5">
                  <c:v>3.5</c:v>
                </c:pt>
              </c:numCache>
            </c:numRef>
          </c:val>
        </c:ser>
        <c:ser>
          <c:idx val="2"/>
          <c:order val="2"/>
          <c:tx>
            <c:strRef>
              <c:f>'Items from pre and post q'!$O$2</c:f>
              <c:strCache>
                <c:ptCount val="1"/>
                <c:pt idx="0">
                  <c:v>Shift</c:v>
                </c:pt>
              </c:strCache>
            </c:strRef>
          </c:tx>
          <c:cat>
            <c:strRef>
              <c:f>'Items from pre and post q'!$L$3:$L$8</c:f>
              <c:strCache>
                <c:ptCount val="6"/>
                <c:pt idx="0">
                  <c:v>ACP2</c:v>
                </c:pt>
                <c:pt idx="1">
                  <c:v>ACP3</c:v>
                </c:pt>
                <c:pt idx="2">
                  <c:v>ACP5</c:v>
                </c:pt>
                <c:pt idx="3">
                  <c:v>ACP4</c:v>
                </c:pt>
                <c:pt idx="4">
                  <c:v>ACP6</c:v>
                </c:pt>
                <c:pt idx="5">
                  <c:v>Average</c:v>
                </c:pt>
              </c:strCache>
            </c:strRef>
          </c:cat>
          <c:val>
            <c:numRef>
              <c:f>'Items from pre and post q'!$O$3:$O$8</c:f>
              <c:numCache>
                <c:formatCode>General</c:formatCode>
                <c:ptCount val="6"/>
                <c:pt idx="0">
                  <c:v>0.70000000000000062</c:v>
                </c:pt>
                <c:pt idx="1">
                  <c:v>0.60000000000000064</c:v>
                </c:pt>
                <c:pt idx="2">
                  <c:v>1.2</c:v>
                </c:pt>
                <c:pt idx="3">
                  <c:v>0.9</c:v>
                </c:pt>
                <c:pt idx="4">
                  <c:v>1.5</c:v>
                </c:pt>
                <c:pt idx="5">
                  <c:v>0.8</c:v>
                </c:pt>
              </c:numCache>
            </c:numRef>
          </c:val>
        </c:ser>
        <c:shape val="box"/>
        <c:axId val="105048704"/>
        <c:axId val="116199808"/>
        <c:axId val="0"/>
      </c:bar3DChart>
      <c:catAx>
        <c:axId val="105048704"/>
        <c:scaling>
          <c:orientation val="minMax"/>
        </c:scaling>
        <c:axPos val="b"/>
        <c:tickLblPos val="nextTo"/>
        <c:crossAx val="116199808"/>
        <c:crosses val="autoZero"/>
        <c:auto val="1"/>
        <c:lblAlgn val="ctr"/>
        <c:lblOffset val="100"/>
      </c:catAx>
      <c:valAx>
        <c:axId val="116199808"/>
        <c:scaling>
          <c:orientation val="minMax"/>
        </c:scaling>
        <c:axPos val="l"/>
        <c:majorGridlines/>
        <c:numFmt formatCode="General" sourceLinked="1"/>
        <c:tickLblPos val="nextTo"/>
        <c:crossAx val="10504870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Company>University of Cambridge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Conor Farrington</dc:creator>
  <cp:keywords/>
  <dc:description/>
  <cp:lastModifiedBy>Conor Farrington</cp:lastModifiedBy>
  <cp:revision>1</cp:revision>
  <dcterms:created xsi:type="dcterms:W3CDTF">2013-10-11T13:00:00Z</dcterms:created>
  <dcterms:modified xsi:type="dcterms:W3CDTF">2013-10-11T13:01:00Z</dcterms:modified>
</cp:coreProperties>
</file>