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B22EC" w:rsidRDefault="002B22EC" w:rsidP="002B22EC">
      <w:pPr>
        <w:spacing w:line="480" w:lineRule="auto"/>
        <w:jc w:val="both"/>
        <w:rPr>
          <w:rFonts w:cs="Calibri"/>
          <w:b/>
          <w:bCs/>
          <w:color w:val="000000"/>
          <w:sz w:val="24"/>
          <w:szCs w:val="24"/>
        </w:rPr>
      </w:pPr>
      <w:r>
        <w:rPr>
          <w:rFonts w:cs="Calibri"/>
          <w:b/>
          <w:bCs/>
          <w:color w:val="000000"/>
          <w:sz w:val="24"/>
          <w:szCs w:val="24"/>
        </w:rPr>
        <w:t>Table 6.  Barriers to carrying out PU prediction and prevention (N=194)</w:t>
      </w:r>
    </w:p>
    <w:tbl>
      <w:tblPr>
        <w:bidiVisual/>
        <w:tblW w:w="8273" w:type="dxa"/>
        <w:tblInd w:w="389" w:type="dxa"/>
        <w:tblBorders>
          <w:top w:val="single" w:sz="12" w:space="0" w:color="008000"/>
          <w:bottom w:val="single" w:sz="12" w:space="0" w:color="008000"/>
        </w:tblBorders>
        <w:tblLook w:val="01E0"/>
      </w:tblPr>
      <w:tblGrid>
        <w:gridCol w:w="1752"/>
        <w:gridCol w:w="6521"/>
      </w:tblGrid>
      <w:tr w:rsidR="002B22EC" w:rsidTr="00EC3B32">
        <w:tc>
          <w:tcPr>
            <w:tcW w:w="1752" w:type="dxa"/>
            <w:tcBorders>
              <w:top w:val="single" w:sz="12" w:space="0" w:color="008000"/>
              <w:left w:val="nil"/>
              <w:bottom w:val="single" w:sz="6" w:space="0" w:color="008000"/>
              <w:right w:val="nil"/>
            </w:tcBorders>
            <w:hideMark/>
          </w:tcPr>
          <w:p w:rsidR="002B22EC" w:rsidRDefault="002B22EC" w:rsidP="00EC3B32">
            <w:pPr>
              <w:jc w:val="both"/>
              <w:rPr>
                <w:rFonts w:cs="Calibri"/>
                <w:color w:val="000000"/>
                <w:sz w:val="24"/>
                <w:szCs w:val="24"/>
              </w:rPr>
            </w:pPr>
            <w:r>
              <w:rPr>
                <w:rFonts w:cs="Calibri"/>
                <w:color w:val="000000"/>
                <w:sz w:val="24"/>
                <w:szCs w:val="24"/>
              </w:rPr>
              <w:t>Number (%)</w:t>
            </w:r>
          </w:p>
        </w:tc>
        <w:tc>
          <w:tcPr>
            <w:tcW w:w="6521" w:type="dxa"/>
            <w:tcBorders>
              <w:top w:val="single" w:sz="12" w:space="0" w:color="008000"/>
              <w:left w:val="nil"/>
              <w:bottom w:val="single" w:sz="6" w:space="0" w:color="008000"/>
              <w:right w:val="nil"/>
            </w:tcBorders>
            <w:hideMark/>
          </w:tcPr>
          <w:p w:rsidR="002B22EC" w:rsidRDefault="002B22EC" w:rsidP="00EC3B32">
            <w:pPr>
              <w:jc w:val="both"/>
              <w:rPr>
                <w:rFonts w:cs="Calibri"/>
                <w:color w:val="000000"/>
                <w:sz w:val="24"/>
                <w:szCs w:val="24"/>
              </w:rPr>
            </w:pPr>
            <w:r>
              <w:rPr>
                <w:rFonts w:cs="Calibri"/>
                <w:color w:val="000000"/>
                <w:sz w:val="24"/>
                <w:szCs w:val="24"/>
              </w:rPr>
              <w:t>Barriers to carrying out PU prediction and prevention</w:t>
            </w:r>
          </w:p>
        </w:tc>
      </w:tr>
      <w:tr w:rsidR="002B22EC" w:rsidTr="00EC3B32">
        <w:tc>
          <w:tcPr>
            <w:tcW w:w="175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2B22EC" w:rsidRDefault="002B22EC" w:rsidP="00EC3B32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cs="Calibri"/>
                <w:color w:val="000000"/>
                <w:sz w:val="24"/>
                <w:szCs w:val="24"/>
              </w:rPr>
            </w:pPr>
            <w:r>
              <w:rPr>
                <w:rFonts w:cs="Calibri"/>
                <w:color w:val="000000"/>
                <w:sz w:val="24"/>
                <w:szCs w:val="24"/>
              </w:rPr>
              <w:t>194  (100)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2B22EC" w:rsidRDefault="002B22EC" w:rsidP="00EC3B32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cs="Calibri"/>
                <w:color w:val="000000"/>
                <w:sz w:val="24"/>
                <w:szCs w:val="24"/>
              </w:rPr>
            </w:pPr>
            <w:r>
              <w:rPr>
                <w:rFonts w:cs="Calibri"/>
                <w:color w:val="000000"/>
                <w:sz w:val="24"/>
                <w:szCs w:val="24"/>
              </w:rPr>
              <w:t>Total number of respondents</w:t>
            </w:r>
          </w:p>
        </w:tc>
      </w:tr>
      <w:tr w:rsidR="002B22EC" w:rsidTr="00EC3B32">
        <w:trPr>
          <w:trHeight w:val="282"/>
        </w:trPr>
        <w:tc>
          <w:tcPr>
            <w:tcW w:w="175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2B22EC" w:rsidRDefault="002B22EC" w:rsidP="00EC3B32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cs="Calibri"/>
                <w:color w:val="000000"/>
                <w:sz w:val="24"/>
                <w:szCs w:val="24"/>
              </w:rPr>
            </w:pPr>
            <w:r>
              <w:rPr>
                <w:rFonts w:cs="Calibri"/>
                <w:color w:val="000000"/>
                <w:sz w:val="24"/>
                <w:szCs w:val="24"/>
              </w:rPr>
              <w:t xml:space="preserve">  33  (24.4)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2B22EC" w:rsidRDefault="002B22EC" w:rsidP="00EC3B32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cs="Calibri"/>
                <w:color w:val="000000"/>
                <w:sz w:val="24"/>
                <w:szCs w:val="24"/>
              </w:rPr>
            </w:pPr>
            <w:r>
              <w:rPr>
                <w:rFonts w:cs="Calibri"/>
                <w:color w:val="000000"/>
                <w:sz w:val="24"/>
                <w:szCs w:val="24"/>
              </w:rPr>
              <w:t>Lack of time</w:t>
            </w:r>
          </w:p>
        </w:tc>
      </w:tr>
      <w:tr w:rsidR="002B22EC" w:rsidTr="00EC3B32">
        <w:tc>
          <w:tcPr>
            <w:tcW w:w="175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2B22EC" w:rsidRDefault="002B22EC" w:rsidP="00EC3B32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cs="Calibri"/>
                <w:color w:val="000000"/>
                <w:sz w:val="24"/>
                <w:szCs w:val="24"/>
              </w:rPr>
            </w:pPr>
            <w:r>
              <w:rPr>
                <w:rFonts w:cs="Calibri"/>
                <w:color w:val="000000"/>
                <w:sz w:val="24"/>
                <w:szCs w:val="24"/>
              </w:rPr>
              <w:t xml:space="preserve">  24  (17.8)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2B22EC" w:rsidRDefault="002B22EC" w:rsidP="00EC3B32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cs="Calibri"/>
                <w:color w:val="000000"/>
                <w:sz w:val="24"/>
                <w:szCs w:val="24"/>
              </w:rPr>
            </w:pPr>
            <w:r>
              <w:rPr>
                <w:rFonts w:cs="Calibri"/>
                <w:color w:val="000000"/>
                <w:sz w:val="24"/>
                <w:szCs w:val="24"/>
              </w:rPr>
              <w:t>Unstable patient</w:t>
            </w:r>
          </w:p>
        </w:tc>
      </w:tr>
      <w:tr w:rsidR="002B22EC" w:rsidTr="00EC3B32">
        <w:tc>
          <w:tcPr>
            <w:tcW w:w="175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2B22EC" w:rsidRDefault="002B22EC" w:rsidP="00EC3B32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cs="Calibri"/>
                <w:color w:val="000000"/>
                <w:sz w:val="24"/>
                <w:szCs w:val="24"/>
              </w:rPr>
            </w:pPr>
            <w:r>
              <w:rPr>
                <w:rFonts w:cs="Calibri"/>
                <w:color w:val="000000"/>
                <w:sz w:val="24"/>
                <w:szCs w:val="24"/>
              </w:rPr>
              <w:t xml:space="preserve">  22  (16.3)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2B22EC" w:rsidRDefault="002B22EC" w:rsidP="00EC3B32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cs="Calibri"/>
                <w:color w:val="000000"/>
                <w:sz w:val="24"/>
                <w:szCs w:val="24"/>
              </w:rPr>
            </w:pPr>
            <w:r>
              <w:rPr>
                <w:rFonts w:cs="Calibri"/>
                <w:color w:val="000000"/>
                <w:sz w:val="24"/>
                <w:szCs w:val="24"/>
              </w:rPr>
              <w:t>Lack of training, resources, equipment, guidelines</w:t>
            </w:r>
          </w:p>
        </w:tc>
      </w:tr>
      <w:tr w:rsidR="002B22EC" w:rsidTr="00EC3B32">
        <w:tc>
          <w:tcPr>
            <w:tcW w:w="175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2B22EC" w:rsidRDefault="002B22EC" w:rsidP="00EC3B32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cs="Calibri"/>
                <w:color w:val="000000"/>
                <w:sz w:val="24"/>
                <w:szCs w:val="24"/>
              </w:rPr>
            </w:pPr>
            <w:r>
              <w:rPr>
                <w:rFonts w:cs="Calibri"/>
                <w:color w:val="000000"/>
                <w:sz w:val="24"/>
                <w:szCs w:val="24"/>
              </w:rPr>
              <w:t xml:space="preserve">  20  (14.8)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2B22EC" w:rsidRDefault="002B22EC" w:rsidP="00EC3B32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cs="Calibri"/>
                <w:color w:val="000000"/>
                <w:sz w:val="24"/>
                <w:szCs w:val="24"/>
              </w:rPr>
            </w:pPr>
            <w:r>
              <w:rPr>
                <w:rFonts w:cs="Calibri"/>
                <w:color w:val="000000"/>
                <w:sz w:val="24"/>
                <w:szCs w:val="24"/>
              </w:rPr>
              <w:t>Short staffed</w:t>
            </w:r>
          </w:p>
        </w:tc>
      </w:tr>
      <w:tr w:rsidR="002B22EC" w:rsidTr="00EC3B32">
        <w:tc>
          <w:tcPr>
            <w:tcW w:w="175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2B22EC" w:rsidRDefault="002B22EC" w:rsidP="00EC3B32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cs="Calibri"/>
                <w:color w:val="000000"/>
                <w:sz w:val="24"/>
                <w:szCs w:val="24"/>
              </w:rPr>
            </w:pPr>
            <w:r>
              <w:rPr>
                <w:rFonts w:cs="Calibri"/>
                <w:color w:val="000000"/>
                <w:sz w:val="24"/>
                <w:szCs w:val="24"/>
              </w:rPr>
              <w:t xml:space="preserve">  19  (14.1)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2B22EC" w:rsidRDefault="002B22EC" w:rsidP="00EC3B32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cs="Calibri"/>
                <w:color w:val="000000"/>
                <w:sz w:val="24"/>
                <w:szCs w:val="24"/>
              </w:rPr>
            </w:pPr>
            <w:r>
              <w:rPr>
                <w:rFonts w:cs="Calibri"/>
                <w:color w:val="000000"/>
                <w:sz w:val="24"/>
                <w:szCs w:val="24"/>
              </w:rPr>
              <w:t>Lack of knowledge</w:t>
            </w:r>
          </w:p>
        </w:tc>
      </w:tr>
      <w:tr w:rsidR="002B22EC" w:rsidTr="00EC3B32">
        <w:tc>
          <w:tcPr>
            <w:tcW w:w="175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2B22EC" w:rsidRDefault="002B22EC" w:rsidP="00EC3B32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cs="Calibri"/>
                <w:color w:val="000000"/>
                <w:sz w:val="24"/>
                <w:szCs w:val="24"/>
              </w:rPr>
            </w:pPr>
            <w:r>
              <w:rPr>
                <w:rFonts w:cs="Calibri"/>
                <w:color w:val="000000"/>
                <w:sz w:val="24"/>
                <w:szCs w:val="24"/>
              </w:rPr>
              <w:t xml:space="preserve">  16  (11.9)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2B22EC" w:rsidRDefault="002B22EC" w:rsidP="00EC3B32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cs="Calibri"/>
                <w:color w:val="000000"/>
                <w:sz w:val="24"/>
                <w:szCs w:val="24"/>
              </w:rPr>
            </w:pPr>
            <w:r>
              <w:rPr>
                <w:rFonts w:cs="Calibri"/>
                <w:color w:val="000000"/>
                <w:sz w:val="24"/>
                <w:szCs w:val="24"/>
              </w:rPr>
              <w:t>Other aspects of care more important/lack of continuity</w:t>
            </w:r>
          </w:p>
        </w:tc>
      </w:tr>
      <w:tr w:rsidR="002B22EC" w:rsidTr="00EC3B32">
        <w:tc>
          <w:tcPr>
            <w:tcW w:w="175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2B22EC" w:rsidRDefault="002B22EC" w:rsidP="00EC3B32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cs="Calibri"/>
                <w:color w:val="000000"/>
                <w:sz w:val="24"/>
                <w:szCs w:val="24"/>
              </w:rPr>
            </w:pPr>
            <w:r>
              <w:rPr>
                <w:rFonts w:cs="Calibri"/>
                <w:color w:val="000000"/>
                <w:sz w:val="24"/>
                <w:szCs w:val="24"/>
              </w:rPr>
              <w:t xml:space="preserve">  14  (10.4)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2B22EC" w:rsidRDefault="002B22EC" w:rsidP="00EC3B32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cs="Calibri"/>
                <w:color w:val="000000"/>
                <w:sz w:val="24"/>
                <w:szCs w:val="24"/>
              </w:rPr>
            </w:pPr>
            <w:r>
              <w:rPr>
                <w:rFonts w:cs="Calibri"/>
                <w:color w:val="000000"/>
                <w:sz w:val="24"/>
                <w:szCs w:val="24"/>
              </w:rPr>
              <w:t>Lack of aids</w:t>
            </w:r>
          </w:p>
        </w:tc>
      </w:tr>
      <w:tr w:rsidR="002B22EC" w:rsidTr="00EC3B32">
        <w:tc>
          <w:tcPr>
            <w:tcW w:w="1752" w:type="dxa"/>
            <w:tcBorders>
              <w:top w:val="nil"/>
              <w:left w:val="nil"/>
              <w:bottom w:val="single" w:sz="12" w:space="0" w:color="008000"/>
              <w:right w:val="nil"/>
            </w:tcBorders>
            <w:hideMark/>
          </w:tcPr>
          <w:p w:rsidR="002B22EC" w:rsidRDefault="002B22EC" w:rsidP="00EC3B32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cs="Calibri"/>
                <w:color w:val="000000"/>
                <w:sz w:val="24"/>
                <w:szCs w:val="24"/>
              </w:rPr>
            </w:pPr>
            <w:r>
              <w:rPr>
                <w:rFonts w:cs="Calibri"/>
                <w:color w:val="000000"/>
                <w:sz w:val="24"/>
                <w:szCs w:val="24"/>
              </w:rPr>
              <w:t xml:space="preserve">  13  (9.6)</w:t>
            </w:r>
          </w:p>
        </w:tc>
        <w:tc>
          <w:tcPr>
            <w:tcW w:w="6521" w:type="dxa"/>
            <w:tcBorders>
              <w:top w:val="nil"/>
              <w:left w:val="nil"/>
              <w:bottom w:val="single" w:sz="12" w:space="0" w:color="008000"/>
              <w:right w:val="nil"/>
            </w:tcBorders>
            <w:hideMark/>
          </w:tcPr>
          <w:p w:rsidR="002B22EC" w:rsidRDefault="002B22EC" w:rsidP="00EC3B32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cs="Calibri"/>
                <w:color w:val="000000"/>
                <w:sz w:val="24"/>
                <w:szCs w:val="24"/>
              </w:rPr>
            </w:pPr>
            <w:r>
              <w:rPr>
                <w:rFonts w:cs="Calibri"/>
                <w:color w:val="000000"/>
                <w:sz w:val="24"/>
                <w:szCs w:val="24"/>
              </w:rPr>
              <w:t>Unable to assess</w:t>
            </w:r>
          </w:p>
        </w:tc>
      </w:tr>
    </w:tbl>
    <w:p w:rsidR="002B22EC" w:rsidRDefault="002B22EC" w:rsidP="002B22EC">
      <w:pPr>
        <w:tabs>
          <w:tab w:val="left" w:pos="2040"/>
        </w:tabs>
        <w:rPr>
          <w:rFonts w:cs="Calibri"/>
          <w:sz w:val="24"/>
          <w:szCs w:val="24"/>
        </w:rPr>
      </w:pPr>
    </w:p>
    <w:p w:rsidR="002B22EC" w:rsidRDefault="002B22EC" w:rsidP="002B22EC"/>
    <w:p w:rsidR="002B22EC" w:rsidRDefault="002B22EC" w:rsidP="002B22EC"/>
    <w:p w:rsidR="002B22EC" w:rsidRDefault="002B22EC" w:rsidP="002B22EC"/>
    <w:p w:rsidR="002B22EC" w:rsidRDefault="002B22EC" w:rsidP="002B22EC"/>
    <w:p w:rsidR="002B22EC" w:rsidRDefault="002B22EC" w:rsidP="002B22EC"/>
    <w:p w:rsidR="002B22EC" w:rsidRDefault="002B22EC" w:rsidP="002B22EC"/>
    <w:p w:rsidR="002032A2" w:rsidRDefault="002032A2"/>
    <w:sectPr w:rsidR="002032A2" w:rsidSect="00A3168E">
      <w:pgSz w:w="11906" w:h="16838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20"/>
  <w:characterSpacingControl w:val="doNotCompress"/>
  <w:compat/>
  <w:rsids>
    <w:rsidRoot w:val="002B22EC"/>
    <w:rsid w:val="002032A2"/>
    <w:rsid w:val="002B22EC"/>
    <w:rsid w:val="00A3168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B22EC"/>
    <w:rPr>
      <w:rFonts w:ascii="Calibri" w:eastAsia="Times New Roman" w:hAnsi="Calibri" w:cs="Arial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74</Words>
  <Characters>422</Characters>
  <Application>Microsoft Office Word</Application>
  <DocSecurity>0</DocSecurity>
  <Lines>3</Lines>
  <Paragraphs>1</Paragraphs>
  <ScaleCrop>false</ScaleCrop>
  <Company>Najah University</Company>
  <LinksUpToDate>false</LinksUpToDate>
  <CharactersWithSpaces>495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Owner</dc:creator>
  <cp:lastModifiedBy>Owner</cp:lastModifiedBy>
  <cp:revision>1</cp:revision>
  <dcterms:created xsi:type="dcterms:W3CDTF">2013-01-01T18:38:00Z</dcterms:created>
  <dcterms:modified xsi:type="dcterms:W3CDTF">2013-01-01T18:39:00Z</dcterms:modified>
</cp:coreProperties>
</file>