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E78" w:rsidRDefault="00681E78" w:rsidP="00681E78">
      <w:pPr>
        <w:pStyle w:val="Heading2"/>
        <w:rPr>
          <w:lang w:val="en-US"/>
        </w:rPr>
      </w:pPr>
      <w:r>
        <w:rPr>
          <w:lang w:val="en-US"/>
        </w:rPr>
        <w:t>A</w:t>
      </w:r>
      <w:r w:rsidR="003C3E0C">
        <w:rPr>
          <w:lang w:val="en-US"/>
        </w:rPr>
        <w:t>dditional file</w:t>
      </w:r>
      <w:r>
        <w:rPr>
          <w:lang w:val="en-US"/>
        </w:rPr>
        <w:t>:</w:t>
      </w:r>
    </w:p>
    <w:p w:rsidR="00681E78" w:rsidRDefault="00681E78" w:rsidP="00681E78">
      <w:pPr>
        <w:rPr>
          <w:lang w:val="en-US"/>
        </w:rPr>
      </w:pPr>
      <w:r>
        <w:rPr>
          <w:lang w:val="en-US"/>
        </w:rPr>
        <w:t>Results from the factor analysis:</w:t>
      </w:r>
    </w:p>
    <w:p w:rsidR="00681E78" w:rsidRPr="004D1A55" w:rsidRDefault="00681E78" w:rsidP="00681E78">
      <w:pPr>
        <w:spacing w:line="240" w:lineRule="auto"/>
        <w:rPr>
          <w:i/>
        </w:rPr>
      </w:pPr>
      <w:r w:rsidRPr="005D42A4">
        <w:rPr>
          <w:i/>
        </w:rPr>
        <w:t>Eigenvalues from the initial solution with its explained variance.</w:t>
      </w:r>
      <w:r>
        <w:rPr>
          <w:i/>
        </w:rPr>
        <w:t xml:space="preserve"> Eigenvalues from a parallel analysis.</w:t>
      </w:r>
      <w:r w:rsidRPr="005D42A4">
        <w:rPr>
          <w:i/>
        </w:rPr>
        <w:t xml:space="preserve"> Factor loadings from the rotated pattern</w:t>
      </w:r>
      <w:r>
        <w:rPr>
          <w:i/>
        </w:rPr>
        <w:t xml:space="preserve"> matrix and </w:t>
      </w:r>
      <w:r w:rsidRPr="005D42A4">
        <w:rPr>
          <w:i/>
        </w:rPr>
        <w:t>correlation between factors.</w:t>
      </w:r>
    </w:p>
    <w:tbl>
      <w:tblPr>
        <w:tblW w:w="6495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07"/>
        <w:gridCol w:w="811"/>
        <w:gridCol w:w="851"/>
        <w:gridCol w:w="1134"/>
        <w:gridCol w:w="992"/>
      </w:tblGrid>
      <w:tr w:rsidR="00681E78" w:rsidRPr="003F1BA1" w:rsidTr="00720DA6">
        <w:trPr>
          <w:trHeight w:val="315"/>
        </w:trPr>
        <w:tc>
          <w:tcPr>
            <w:tcW w:w="2707" w:type="dxa"/>
            <w:shd w:val="clear" w:color="auto" w:fill="FFFFFF"/>
            <w:noWrap/>
            <w:vAlign w:val="bottom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 </w:t>
            </w:r>
          </w:p>
        </w:tc>
        <w:tc>
          <w:tcPr>
            <w:tcW w:w="378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Nursing homes</w:t>
            </w:r>
          </w:p>
        </w:tc>
      </w:tr>
      <w:tr w:rsidR="00681E78" w:rsidRPr="003F1BA1" w:rsidTr="00720DA6">
        <w:trPr>
          <w:trHeight w:val="315"/>
        </w:trPr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 Factor: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4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Eigenvalues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7,93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1,98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1,43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1,17</w:t>
            </w:r>
          </w:p>
        </w:tc>
      </w:tr>
      <w:tr w:rsidR="00681E78" w:rsidRPr="003F1BA1" w:rsidTr="00720DA6">
        <w:trPr>
          <w:trHeight w:val="315"/>
        </w:trPr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Cum. variance explained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46,65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58,29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66,69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73,56</w:t>
            </w:r>
          </w:p>
        </w:tc>
      </w:tr>
      <w:tr w:rsidR="00681E78" w:rsidRPr="003F1BA1" w:rsidTr="00720DA6">
        <w:trPr>
          <w:trHeight w:val="315"/>
        </w:trPr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Eigenvalues</w:t>
            </w:r>
          </w:p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Parallel analysis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1,</w:t>
            </w:r>
            <w:bookmarkStart w:id="0" w:name="_GoBack"/>
            <w:bookmarkEnd w:id="0"/>
            <w:r w:rsidRPr="00720DA6">
              <w:rPr>
                <w:color w:val="000000"/>
                <w:sz w:val="20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1,11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1. Eating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0,39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0,57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0,04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-0,16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2. Dressing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0,10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0,77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-0,05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0,17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3. Personal hygiene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0,28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0,58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-0,04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0,17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4. Using the toilet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0,15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0,80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-0,09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0,08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5. Indoor mobility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-0,08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0,90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0,05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-0,01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6. Outdoor mobility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-0,15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0,76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0,11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0,12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7. Cooking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0,12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0,16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0,05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0,71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8. House keeping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0,02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0,25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0,03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0,67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9. Shopping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0,51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0,03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-0,02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0,44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10. Maintaining own health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0,64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0,01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-0,01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0,29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11. Communication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0,74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0,23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0,07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-0,17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12. Social interaction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0,72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0,18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0,05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-0,03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13. Daily decision taking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0,72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0,01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-0,03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0,27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14. Memory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0,76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-0,18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0,02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0,11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15. Behavioural control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0,72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0,05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0,01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-0,09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16. Sight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-0,04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0,06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0,73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0,06</w:t>
            </w:r>
          </w:p>
        </w:tc>
      </w:tr>
      <w:tr w:rsidR="00681E78" w:rsidRPr="003F1BA1" w:rsidTr="00720DA6">
        <w:trPr>
          <w:trHeight w:val="315"/>
        </w:trPr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17. Hearing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b/>
                <w:bCs/>
                <w:color w:val="000000"/>
                <w:sz w:val="20"/>
                <w:lang w:eastAsia="en-US"/>
              </w:rPr>
            </w:pPr>
            <w:r w:rsidRPr="00720DA6">
              <w:rPr>
                <w:b/>
                <w:bCs/>
                <w:color w:val="000000"/>
                <w:sz w:val="20"/>
                <w:lang w:eastAsia="en-US"/>
              </w:rPr>
              <w:t>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-0,03</w:t>
            </w: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Factor correlation: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clear" w:pos="1134"/>
              </w:tabs>
              <w:suppressAutoHyphens w:val="0"/>
              <w:spacing w:line="276" w:lineRule="auto"/>
              <w:rPr>
                <w:rFonts w:eastAsiaTheme="minorHAnsi"/>
                <w:sz w:val="20"/>
                <w:lang w:val="nb-NO" w:eastAsia="en-US"/>
              </w:rPr>
            </w:pP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clear" w:pos="1134"/>
              </w:tabs>
              <w:suppressAutoHyphens w:val="0"/>
              <w:spacing w:line="276" w:lineRule="auto"/>
              <w:rPr>
                <w:rFonts w:eastAsiaTheme="minorHAnsi"/>
                <w:sz w:val="20"/>
                <w:lang w:val="nb-NO" w:eastAsia="en-US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clear" w:pos="1134"/>
              </w:tabs>
              <w:suppressAutoHyphens w:val="0"/>
              <w:spacing w:line="276" w:lineRule="auto"/>
              <w:rPr>
                <w:rFonts w:eastAsiaTheme="minorHAnsi"/>
                <w:sz w:val="20"/>
                <w:lang w:val="nb-NO" w:eastAsia="en-US"/>
              </w:rPr>
            </w:pP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clear" w:pos="1134"/>
              </w:tabs>
              <w:suppressAutoHyphens w:val="0"/>
              <w:spacing w:line="276" w:lineRule="auto"/>
              <w:rPr>
                <w:rFonts w:eastAsiaTheme="minorHAnsi"/>
                <w:sz w:val="20"/>
                <w:lang w:val="nb-NO" w:eastAsia="en-US"/>
              </w:rPr>
            </w:pP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Factor 1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1.0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  <w:noWrap/>
            <w:vAlign w:val="center"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lang w:eastAsia="en-US"/>
              </w:rPr>
            </w:pP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Factor 2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0,45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1.0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clear" w:pos="1134"/>
              </w:tabs>
              <w:suppressAutoHyphens w:val="0"/>
              <w:spacing w:line="276" w:lineRule="auto"/>
              <w:rPr>
                <w:rFonts w:eastAsiaTheme="minorHAnsi"/>
                <w:sz w:val="20"/>
                <w:lang w:val="nb-NO" w:eastAsia="en-US"/>
              </w:rPr>
            </w:pP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clear" w:pos="1134"/>
              </w:tabs>
              <w:suppressAutoHyphens w:val="0"/>
              <w:spacing w:line="276" w:lineRule="auto"/>
              <w:rPr>
                <w:rFonts w:eastAsiaTheme="minorHAnsi"/>
                <w:sz w:val="20"/>
                <w:lang w:val="nb-NO" w:eastAsia="en-US"/>
              </w:rPr>
            </w:pP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Factor 3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0,12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0,21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1.0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clear" w:pos="1134"/>
              </w:tabs>
              <w:suppressAutoHyphens w:val="0"/>
              <w:spacing w:line="276" w:lineRule="auto"/>
              <w:rPr>
                <w:rFonts w:eastAsiaTheme="minorHAnsi"/>
                <w:sz w:val="20"/>
                <w:lang w:val="nb-NO" w:eastAsia="en-US"/>
              </w:rPr>
            </w:pPr>
          </w:p>
        </w:tc>
      </w:tr>
      <w:tr w:rsidR="00681E78" w:rsidRPr="003F1BA1" w:rsidTr="00720DA6">
        <w:trPr>
          <w:trHeight w:val="300"/>
        </w:trPr>
        <w:tc>
          <w:tcPr>
            <w:tcW w:w="2707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Factor 4</w:t>
            </w:r>
          </w:p>
        </w:tc>
        <w:tc>
          <w:tcPr>
            <w:tcW w:w="81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0,38</w:t>
            </w:r>
          </w:p>
        </w:tc>
        <w:tc>
          <w:tcPr>
            <w:tcW w:w="851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0,37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0,03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681E78" w:rsidRPr="00720DA6" w:rsidRDefault="00681E78" w:rsidP="00720DA6">
            <w:pPr>
              <w:tabs>
                <w:tab w:val="left" w:pos="708"/>
              </w:tabs>
              <w:suppressAutoHyphens w:val="0"/>
              <w:spacing w:line="240" w:lineRule="auto"/>
              <w:jc w:val="center"/>
              <w:rPr>
                <w:color w:val="000000"/>
                <w:sz w:val="20"/>
                <w:lang w:eastAsia="en-US"/>
              </w:rPr>
            </w:pPr>
            <w:r w:rsidRPr="00720DA6">
              <w:rPr>
                <w:color w:val="000000"/>
                <w:sz w:val="20"/>
                <w:lang w:eastAsia="en-US"/>
              </w:rPr>
              <w:t>1.0</w:t>
            </w:r>
          </w:p>
        </w:tc>
      </w:tr>
    </w:tbl>
    <w:p w:rsidR="00681E78" w:rsidRPr="00B343BB" w:rsidRDefault="00681E78" w:rsidP="00681E78">
      <w:pPr>
        <w:spacing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</w:rPr>
        <w:t>Variable shopping had high loadings on both factor 1 and 4. In the analysis it was sorted together with the other IADL variables</w:t>
      </w:r>
    </w:p>
    <w:p w:rsidR="00681E78" w:rsidRPr="004B3025" w:rsidRDefault="00681E78" w:rsidP="00681E78">
      <w:pPr>
        <w:rPr>
          <w:lang w:val="en-US"/>
        </w:rPr>
      </w:pPr>
    </w:p>
    <w:p w:rsidR="00B01613" w:rsidRDefault="003C3E0C"/>
    <w:sectPr w:rsidR="00B01613" w:rsidSect="00062ABB">
      <w:footerReference w:type="even" r:id="rId6"/>
      <w:footerReference w:type="default" r:id="rId7"/>
      <w:pgSz w:w="11906" w:h="16838" w:code="9"/>
      <w:pgMar w:top="1417" w:right="1417" w:bottom="1417" w:left="1417" w:header="708" w:footer="1134" w:gutter="0"/>
      <w:paperSrc w:first="259" w:other="25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C46" w:rsidRDefault="004A3C46" w:rsidP="004A3C46">
      <w:pPr>
        <w:spacing w:line="240" w:lineRule="auto"/>
      </w:pPr>
      <w:r>
        <w:separator/>
      </w:r>
    </w:p>
  </w:endnote>
  <w:endnote w:type="continuationSeparator" w:id="0">
    <w:p w:rsidR="004A3C46" w:rsidRDefault="004A3C46" w:rsidP="004A3C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BA1" w:rsidRDefault="004A3C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1E7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1E78">
      <w:rPr>
        <w:rStyle w:val="PageNumber"/>
        <w:noProof/>
      </w:rPr>
      <w:t>14</w:t>
    </w:r>
    <w:r>
      <w:rPr>
        <w:rStyle w:val="PageNumber"/>
      </w:rPr>
      <w:fldChar w:fldCharType="end"/>
    </w:r>
  </w:p>
  <w:p w:rsidR="003F1BA1" w:rsidRDefault="003C3E0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BA1" w:rsidRDefault="004A3C46">
    <w:pPr>
      <w:pStyle w:val="Footer"/>
    </w:pPr>
    <w:r>
      <w:rPr>
        <w:rStyle w:val="PageNumber"/>
      </w:rPr>
      <w:fldChar w:fldCharType="begin"/>
    </w:r>
    <w:r w:rsidR="00681E78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C3E0C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C46" w:rsidRDefault="004A3C46" w:rsidP="004A3C46">
      <w:pPr>
        <w:spacing w:line="240" w:lineRule="auto"/>
      </w:pPr>
      <w:r>
        <w:separator/>
      </w:r>
    </w:p>
  </w:footnote>
  <w:footnote w:type="continuationSeparator" w:id="0">
    <w:p w:rsidR="004A3C46" w:rsidRDefault="004A3C46" w:rsidP="004A3C4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E78"/>
    <w:rsid w:val="00207D06"/>
    <w:rsid w:val="00250D3E"/>
    <w:rsid w:val="003C3E0C"/>
    <w:rsid w:val="004A3C46"/>
    <w:rsid w:val="00566EA8"/>
    <w:rsid w:val="005C7669"/>
    <w:rsid w:val="00681E78"/>
    <w:rsid w:val="00A91CEF"/>
    <w:rsid w:val="00B4715D"/>
    <w:rsid w:val="00F4762C"/>
    <w:rsid w:val="00F84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E78"/>
    <w:pPr>
      <w:tabs>
        <w:tab w:val="left" w:pos="1134"/>
      </w:tabs>
      <w:suppressAutoHyphens/>
      <w:spacing w:after="0" w:line="360" w:lineRule="auto"/>
    </w:pPr>
    <w:rPr>
      <w:rFonts w:ascii="Times New Roman" w:eastAsia="Times New Roman" w:hAnsi="Times New Roman" w:cs="Times New Roman"/>
      <w:szCs w:val="20"/>
      <w:lang w:val="en-GB" w:eastAsia="nb-NO"/>
    </w:rPr>
  </w:style>
  <w:style w:type="paragraph" w:styleId="Heading2">
    <w:name w:val="heading 2"/>
    <w:basedOn w:val="Normal"/>
    <w:next w:val="Normal"/>
    <w:link w:val="Heading2Char"/>
    <w:qFormat/>
    <w:rsid w:val="00681E78"/>
    <w:pPr>
      <w:keepNext/>
      <w:tabs>
        <w:tab w:val="clear" w:pos="1134"/>
      </w:tabs>
      <w:suppressAutoHyphens w:val="0"/>
      <w:spacing w:before="360" w:after="120" w:line="240" w:lineRule="auto"/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1E78"/>
    <w:rPr>
      <w:rFonts w:ascii="Arial" w:eastAsia="Times New Roman" w:hAnsi="Arial" w:cs="Times New Roman"/>
      <w:b/>
      <w:szCs w:val="20"/>
      <w:lang w:val="en-GB" w:eastAsia="nb-NO"/>
    </w:rPr>
  </w:style>
  <w:style w:type="paragraph" w:styleId="Footer">
    <w:name w:val="footer"/>
    <w:basedOn w:val="Normal"/>
    <w:link w:val="FooterChar"/>
    <w:semiHidden/>
    <w:rsid w:val="00681E78"/>
    <w:pPr>
      <w:tabs>
        <w:tab w:val="clear" w:pos="1134"/>
        <w:tab w:val="center" w:pos="4536"/>
        <w:tab w:val="right" w:pos="9072"/>
      </w:tabs>
      <w:suppressAutoHyphens w:val="0"/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semiHidden/>
    <w:rsid w:val="00681E78"/>
    <w:rPr>
      <w:rFonts w:ascii="Times New Roman" w:eastAsia="Times New Roman" w:hAnsi="Times New Roman" w:cs="Times New Roman"/>
      <w:szCs w:val="20"/>
      <w:lang w:val="en-GB" w:eastAsia="nb-NO"/>
    </w:rPr>
  </w:style>
  <w:style w:type="character" w:styleId="PageNumber">
    <w:name w:val="page number"/>
    <w:basedOn w:val="DefaultParagraphFont"/>
    <w:semiHidden/>
    <w:rsid w:val="00681E7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E78"/>
    <w:pPr>
      <w:tabs>
        <w:tab w:val="left" w:pos="1134"/>
      </w:tabs>
      <w:suppressAutoHyphens/>
      <w:spacing w:after="0" w:line="360" w:lineRule="auto"/>
    </w:pPr>
    <w:rPr>
      <w:rFonts w:ascii="Times New Roman" w:eastAsia="Times New Roman" w:hAnsi="Times New Roman" w:cs="Times New Roman"/>
      <w:szCs w:val="20"/>
      <w:lang w:val="en-GB" w:eastAsia="nb-NO"/>
    </w:rPr>
  </w:style>
  <w:style w:type="paragraph" w:styleId="Heading2">
    <w:name w:val="heading 2"/>
    <w:basedOn w:val="Normal"/>
    <w:next w:val="Normal"/>
    <w:link w:val="Heading2Char"/>
    <w:qFormat/>
    <w:rsid w:val="00681E78"/>
    <w:pPr>
      <w:keepNext/>
      <w:tabs>
        <w:tab w:val="clear" w:pos="1134"/>
      </w:tabs>
      <w:suppressAutoHyphens w:val="0"/>
      <w:spacing w:before="360" w:after="120" w:line="240" w:lineRule="auto"/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81E78"/>
    <w:rPr>
      <w:rFonts w:ascii="Arial" w:eastAsia="Times New Roman" w:hAnsi="Arial" w:cs="Times New Roman"/>
      <w:b/>
      <w:szCs w:val="20"/>
      <w:lang w:val="en-GB" w:eastAsia="nb-NO"/>
    </w:rPr>
  </w:style>
  <w:style w:type="paragraph" w:styleId="Footer">
    <w:name w:val="footer"/>
    <w:basedOn w:val="Normal"/>
    <w:link w:val="FooterChar"/>
    <w:semiHidden/>
    <w:rsid w:val="00681E78"/>
    <w:pPr>
      <w:tabs>
        <w:tab w:val="clear" w:pos="1134"/>
        <w:tab w:val="center" w:pos="4536"/>
        <w:tab w:val="right" w:pos="9072"/>
      </w:tabs>
      <w:suppressAutoHyphens w:val="0"/>
      <w:spacing w:line="240" w:lineRule="auto"/>
      <w:jc w:val="center"/>
    </w:pPr>
  </w:style>
  <w:style w:type="character" w:customStyle="1" w:styleId="FooterChar">
    <w:name w:val="Footer Char"/>
    <w:basedOn w:val="DefaultParagraphFont"/>
    <w:link w:val="Footer"/>
    <w:semiHidden/>
    <w:rsid w:val="00681E78"/>
    <w:rPr>
      <w:rFonts w:ascii="Times New Roman" w:eastAsia="Times New Roman" w:hAnsi="Times New Roman" w:cs="Times New Roman"/>
      <w:szCs w:val="20"/>
      <w:lang w:val="en-GB" w:eastAsia="nb-NO"/>
    </w:rPr>
  </w:style>
  <w:style w:type="character" w:styleId="PageNumber">
    <w:name w:val="page number"/>
    <w:basedOn w:val="DefaultParagraphFont"/>
    <w:semiHidden/>
    <w:rsid w:val="00681E7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DMF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Øystein Døhl</dc:creator>
  <cp:lastModifiedBy>ltachado</cp:lastModifiedBy>
  <cp:revision>2</cp:revision>
  <dcterms:created xsi:type="dcterms:W3CDTF">2013-12-18T13:12:00Z</dcterms:created>
  <dcterms:modified xsi:type="dcterms:W3CDTF">2014-03-03T03:39:00Z</dcterms:modified>
</cp:coreProperties>
</file>