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646" w:rsidRPr="0067111C" w:rsidRDefault="009D64F0">
      <w:pPr>
        <w:rPr>
          <w:rFonts w:ascii="Times New Roman" w:hAnsi="Times New Roman" w:cs="Times New Roman"/>
          <w:b/>
        </w:rPr>
      </w:pPr>
      <w:r w:rsidRPr="0067111C">
        <w:rPr>
          <w:rFonts w:ascii="Times New Roman" w:hAnsi="Times New Roman" w:cs="Times New Roman"/>
          <w:b/>
        </w:rPr>
        <w:t>Supporting material</w:t>
      </w:r>
    </w:p>
    <w:p w:rsidR="00001124" w:rsidRPr="00001124" w:rsidRDefault="00001124" w:rsidP="009D64F0">
      <w:pPr>
        <w:jc w:val="both"/>
        <w:rPr>
          <w:rFonts w:ascii="Times New Roman" w:hAnsi="Times New Roman" w:cs="Times New Roman"/>
          <w:b/>
        </w:rPr>
      </w:pPr>
      <w:r w:rsidRPr="00001124">
        <w:rPr>
          <w:rFonts w:ascii="Times New Roman" w:hAnsi="Times New Roman" w:cs="Times New Roman"/>
          <w:b/>
        </w:rPr>
        <w:t>Measurement of the NADPH-dependent methylglyoxal reduction activity in production strains</w:t>
      </w:r>
    </w:p>
    <w:p w:rsidR="009D64F0" w:rsidRPr="009D64F0" w:rsidRDefault="009D64F0" w:rsidP="009D64F0">
      <w:pPr>
        <w:jc w:val="both"/>
        <w:rPr>
          <w:rFonts w:ascii="Times New Roman" w:hAnsi="Times New Roman" w:cs="Times New Roman"/>
        </w:rPr>
      </w:pPr>
      <w:r w:rsidRPr="009D64F0">
        <w:rPr>
          <w:rFonts w:ascii="Times New Roman" w:hAnsi="Times New Roman" w:cs="Times New Roman"/>
        </w:rPr>
        <w:t xml:space="preserve">The </w:t>
      </w:r>
      <w:proofErr w:type="spellStart"/>
      <w:r w:rsidRPr="009D64F0">
        <w:rPr>
          <w:rFonts w:ascii="Times New Roman" w:hAnsi="Times New Roman" w:cs="Times New Roman"/>
          <w:i/>
        </w:rPr>
        <w:t>yqhD</w:t>
      </w:r>
      <w:proofErr w:type="spellEnd"/>
      <w:r w:rsidRPr="009D64F0">
        <w:rPr>
          <w:rFonts w:ascii="Times New Roman" w:hAnsi="Times New Roman" w:cs="Times New Roman"/>
        </w:rPr>
        <w:t xml:space="preserve"> gene has been </w:t>
      </w:r>
      <w:proofErr w:type="spellStart"/>
      <w:r w:rsidRPr="009D64F0">
        <w:rPr>
          <w:rFonts w:ascii="Times New Roman" w:hAnsi="Times New Roman" w:cs="Times New Roman"/>
        </w:rPr>
        <w:t>overexpressed</w:t>
      </w:r>
      <w:proofErr w:type="spellEnd"/>
      <w:r w:rsidRPr="009D64F0">
        <w:rPr>
          <w:rFonts w:ascii="Times New Roman" w:hAnsi="Times New Roman" w:cs="Times New Roman"/>
        </w:rPr>
        <w:t xml:space="preserve"> in the </w:t>
      </w:r>
      <w:proofErr w:type="spellStart"/>
      <w:r w:rsidRPr="009D64F0">
        <w:rPr>
          <w:rFonts w:ascii="Times New Roman" w:hAnsi="Times New Roman" w:cs="Times New Roman"/>
          <w:i/>
        </w:rPr>
        <w:t>Synechococcus</w:t>
      </w:r>
      <w:proofErr w:type="spellEnd"/>
      <w:r w:rsidRPr="009D64F0">
        <w:rPr>
          <w:rFonts w:ascii="Times New Roman" w:hAnsi="Times New Roman" w:cs="Times New Roman"/>
          <w:i/>
        </w:rPr>
        <w:t xml:space="preserve"> </w:t>
      </w:r>
      <w:proofErr w:type="spellStart"/>
      <w:r w:rsidRPr="009D64F0">
        <w:rPr>
          <w:rFonts w:ascii="Times New Roman" w:hAnsi="Times New Roman" w:cs="Times New Roman"/>
          <w:i/>
        </w:rPr>
        <w:t>elongatus</w:t>
      </w:r>
      <w:proofErr w:type="spellEnd"/>
      <w:r w:rsidRPr="009D64F0">
        <w:rPr>
          <w:rFonts w:ascii="Times New Roman" w:hAnsi="Times New Roman" w:cs="Times New Roman"/>
        </w:rPr>
        <w:t xml:space="preserve"> PCC 7942 and showed relatively high activity </w:t>
      </w:r>
      <w:r w:rsidR="00D30F04">
        <w:rPr>
          <w:rFonts w:ascii="Times New Roman" w:hAnsi="Times New Roman" w:cs="Times New Roman"/>
        </w:rPr>
        <w:fldChar w:fldCharType="begin"/>
      </w:r>
      <w:r w:rsidR="0067111C">
        <w:rPr>
          <w:rFonts w:ascii="Times New Roman" w:hAnsi="Times New Roman" w:cs="Times New Roman"/>
        </w:rPr>
        <w:instrText xml:space="preserve"> ADDIN EN.CITE &lt;EndNote&gt;&lt;Cite&gt;&lt;Author&gt;Atsumi&lt;/Author&gt;&lt;Year&gt;2009&lt;/Year&gt;&lt;RecNum&gt;15&lt;/RecNum&gt;&lt;DisplayText&gt;[1]&lt;/DisplayText&gt;&lt;record&gt;&lt;rec-number&gt;15&lt;/rec-number&gt;&lt;foreign-keys&gt;&lt;key app="EN" db-id="dz9ewp2wgs295wear0avf9zz9rd05ppr0awt"&gt;15&lt;/key&gt;&lt;/foreign-keys&gt;&lt;ref-type name="Journal Article"&gt;17&lt;/ref-type&gt;&lt;contributors&gt;&lt;authors&gt;&lt;author&gt;Atsumi, S.&lt;/author&gt;&lt;author&gt;Higashide, W.&lt;/author&gt;&lt;author&gt;Liao, J. C.&lt;/author&gt;&lt;/authors&gt;&lt;/contributors&gt;&lt;auth-address&gt;Department of Chemical and Biomolecular Engineering, University of California, Los Angeles, USA.&lt;/auth-address&gt;&lt;titles&gt;&lt;title&gt;Direct photosynthetic recycling of carbon dioxide to isobutyraldehyde&lt;/title&gt;&lt;secondary-title&gt;Nat Biotechnol&lt;/secondary-title&gt;&lt;/titles&gt;&lt;periodical&gt;&lt;full-title&gt;Nat Biotechnol&lt;/full-title&gt;&lt;/periodical&gt;&lt;pages&gt;1177-80&lt;/pages&gt;&lt;volume&gt;27&lt;/volume&gt;&lt;number&gt;12&lt;/number&gt;&lt;edition&gt;2009/11/17&lt;/edition&gt;&lt;keywords&gt;&lt;keyword&gt;Aldehydes/*metabolism&lt;/keyword&gt;&lt;keyword&gt;*Biofuels&lt;/keyword&gt;&lt;keyword&gt;Carbon Dioxide/*metabolism&lt;/keyword&gt;&lt;keyword&gt;Conservation of Natural Resources&lt;/keyword&gt;&lt;keyword&gt;Light&lt;/keyword&gt;&lt;keyword&gt;Photosynthesis/*physiology&lt;/keyword&gt;&lt;keyword&gt;Synechococcus/*metabolism/radiation effects&lt;/keyword&gt;&lt;/keywords&gt;&lt;dates&gt;&lt;year&gt;2009&lt;/year&gt;&lt;pub-dates&gt;&lt;date&gt;Dec&lt;/date&gt;&lt;/pub-dates&gt;&lt;/dates&gt;&lt;isbn&gt;1546-1696 (Electronic)&amp;#xD;1087-0156 (Linking)&lt;/isbn&gt;&lt;accession-num&gt;19915552&lt;/accession-num&gt;&lt;urls&gt;&lt;related-urls&gt;&lt;url&gt;http://www.ncbi.nlm.nih.gov/pubmed/19915552&lt;/url&gt;&lt;/related-urls&gt;&lt;/urls&gt;&lt;electronic-resource-num&gt;nbt.1586 [pii]&amp;#xD;10.1038/nbt.1586&lt;/electronic-resource-num&gt;&lt;language&gt;eng&lt;/language&gt;&lt;/record&gt;&lt;/Cite&gt;&lt;/EndNote&gt;</w:instrText>
      </w:r>
      <w:r w:rsidR="00D30F04">
        <w:rPr>
          <w:rFonts w:ascii="Times New Roman" w:hAnsi="Times New Roman" w:cs="Times New Roman"/>
        </w:rPr>
        <w:fldChar w:fldCharType="separate"/>
      </w:r>
      <w:r w:rsidR="0067111C">
        <w:rPr>
          <w:rFonts w:ascii="Times New Roman" w:hAnsi="Times New Roman" w:cs="Times New Roman"/>
          <w:noProof/>
        </w:rPr>
        <w:t>[</w:t>
      </w:r>
      <w:r w:rsidR="00B117E9">
        <w:rPr>
          <w:rFonts w:ascii="Times New Roman" w:hAnsi="Times New Roman" w:cs="Times New Roman"/>
          <w:noProof/>
        </w:rPr>
        <w:t>S</w:t>
      </w:r>
      <w:hyperlink w:anchor="_ENREF_1" w:tooltip="Atsumi, 2009 #15" w:history="1">
        <w:r w:rsidR="0067111C">
          <w:rPr>
            <w:rFonts w:ascii="Times New Roman" w:hAnsi="Times New Roman" w:cs="Times New Roman"/>
            <w:noProof/>
          </w:rPr>
          <w:t>1</w:t>
        </w:r>
      </w:hyperlink>
      <w:r w:rsidR="0067111C">
        <w:rPr>
          <w:rFonts w:ascii="Times New Roman" w:hAnsi="Times New Roman" w:cs="Times New Roman"/>
          <w:noProof/>
        </w:rPr>
        <w:t>]</w:t>
      </w:r>
      <w:r w:rsidR="00D30F04">
        <w:rPr>
          <w:rFonts w:ascii="Times New Roman" w:hAnsi="Times New Roman" w:cs="Times New Roman"/>
        </w:rPr>
        <w:fldChar w:fldCharType="end"/>
      </w:r>
      <w:r w:rsidRPr="009D64F0">
        <w:rPr>
          <w:rFonts w:ascii="Times New Roman" w:hAnsi="Times New Roman" w:cs="Times New Roman"/>
        </w:rPr>
        <w:t xml:space="preserve">. To confirm the functional </w:t>
      </w:r>
      <w:proofErr w:type="spellStart"/>
      <w:r w:rsidRPr="009D64F0">
        <w:rPr>
          <w:rFonts w:ascii="Times New Roman" w:hAnsi="Times New Roman" w:cs="Times New Roman"/>
        </w:rPr>
        <w:t>overexpression</w:t>
      </w:r>
      <w:proofErr w:type="spellEnd"/>
      <w:r w:rsidRPr="009D64F0">
        <w:rPr>
          <w:rFonts w:ascii="Times New Roman" w:hAnsi="Times New Roman" w:cs="Times New Roman"/>
        </w:rPr>
        <w:t xml:space="preserve"> in the 1</w:t>
      </w:r>
      <w:proofErr w:type="gramStart"/>
      <w:r w:rsidRPr="009D64F0">
        <w:rPr>
          <w:rFonts w:ascii="Times New Roman" w:hAnsi="Times New Roman" w:cs="Times New Roman"/>
        </w:rPr>
        <w:t>,2</w:t>
      </w:r>
      <w:proofErr w:type="gramEnd"/>
      <w:r w:rsidRPr="009D64F0">
        <w:rPr>
          <w:rFonts w:ascii="Times New Roman" w:hAnsi="Times New Roman" w:cs="Times New Roman"/>
        </w:rPr>
        <w:t xml:space="preserve">-propandieol production strains, the activity of NADPH-dependent reduction of methylglyoxal was also measured (Figure S1). In LH21 strain, the measured activity was significantly higher than that in the </w:t>
      </w:r>
      <w:proofErr w:type="spellStart"/>
      <w:r w:rsidRPr="009D64F0">
        <w:rPr>
          <w:rFonts w:ascii="Times New Roman" w:hAnsi="Times New Roman" w:cs="Times New Roman"/>
        </w:rPr>
        <w:t>wildtype</w:t>
      </w:r>
      <w:proofErr w:type="spellEnd"/>
      <w:r w:rsidRPr="009D64F0">
        <w:rPr>
          <w:rFonts w:ascii="Times New Roman" w:hAnsi="Times New Roman" w:cs="Times New Roman"/>
        </w:rPr>
        <w:t xml:space="preserve">. This difference in activity levels should represent the activity </w:t>
      </w:r>
      <w:r>
        <w:rPr>
          <w:rFonts w:ascii="Times New Roman" w:hAnsi="Times New Roman" w:cs="Times New Roman"/>
        </w:rPr>
        <w:t xml:space="preserve">of the </w:t>
      </w:r>
      <w:proofErr w:type="spellStart"/>
      <w:r>
        <w:rPr>
          <w:rFonts w:ascii="Times New Roman" w:hAnsi="Times New Roman" w:cs="Times New Roman"/>
        </w:rPr>
        <w:t>heterologous</w:t>
      </w:r>
      <w:proofErr w:type="spellEnd"/>
      <w:r>
        <w:rPr>
          <w:rFonts w:ascii="Times New Roman" w:hAnsi="Times New Roman" w:cs="Times New Roman"/>
        </w:rPr>
        <w:t xml:space="preserve"> expressed </w:t>
      </w:r>
      <w:proofErr w:type="spellStart"/>
      <w:r w:rsidRPr="009D64F0">
        <w:rPr>
          <w:rFonts w:ascii="Times New Roman" w:hAnsi="Times New Roman" w:cs="Times New Roman"/>
        </w:rPr>
        <w:t>yqhD</w:t>
      </w:r>
      <w:proofErr w:type="spellEnd"/>
      <w:r w:rsidRPr="009D64F0">
        <w:rPr>
          <w:rFonts w:ascii="Times New Roman" w:hAnsi="Times New Roman" w:cs="Times New Roman"/>
        </w:rPr>
        <w:t xml:space="preserve"> in LH21, since the </w:t>
      </w:r>
      <w:proofErr w:type="spellStart"/>
      <w:r w:rsidRPr="009D64F0">
        <w:rPr>
          <w:rFonts w:ascii="Times New Roman" w:hAnsi="Times New Roman" w:cs="Times New Roman"/>
        </w:rPr>
        <w:t>overexpresssed</w:t>
      </w:r>
      <w:proofErr w:type="spellEnd"/>
      <w:r w:rsidRPr="009D64F0">
        <w:rPr>
          <w:rFonts w:ascii="Times New Roman" w:hAnsi="Times New Roman" w:cs="Times New Roman"/>
        </w:rPr>
        <w:t xml:space="preserve"> </w:t>
      </w:r>
      <w:proofErr w:type="spellStart"/>
      <w:r w:rsidRPr="009D64F0">
        <w:rPr>
          <w:rFonts w:ascii="Times New Roman" w:hAnsi="Times New Roman" w:cs="Times New Roman"/>
        </w:rPr>
        <w:t>gldA</w:t>
      </w:r>
      <w:proofErr w:type="spellEnd"/>
      <w:r w:rsidRPr="009D64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the same strain </w:t>
      </w:r>
      <w:r w:rsidRPr="009D64F0">
        <w:rPr>
          <w:rFonts w:ascii="Times New Roman" w:hAnsi="Times New Roman" w:cs="Times New Roman"/>
        </w:rPr>
        <w:t xml:space="preserve">is NADH-dependent and would have little effect on the measurement due to the lack of NADH cofactor in the reaction system. </w:t>
      </w:r>
    </w:p>
    <w:p w:rsidR="009D64F0" w:rsidRPr="009D64F0" w:rsidRDefault="009D64F0" w:rsidP="009D64F0">
      <w:pPr>
        <w:jc w:val="both"/>
        <w:rPr>
          <w:rFonts w:ascii="Times New Roman" w:hAnsi="Times New Roman" w:cs="Times New Roman"/>
        </w:rPr>
      </w:pPr>
      <w:r w:rsidRPr="009D64F0">
        <w:rPr>
          <w:rFonts w:ascii="Times New Roman" w:hAnsi="Times New Roman" w:cs="Times New Roman"/>
        </w:rPr>
        <w:t xml:space="preserve">In LH22 and LH23 strains, the assay may be affected by the activity of NADPH-dependent secondary alcohol </w:t>
      </w:r>
      <w:proofErr w:type="spellStart"/>
      <w:r w:rsidRPr="009D64F0">
        <w:rPr>
          <w:rFonts w:ascii="Times New Roman" w:hAnsi="Times New Roman" w:cs="Times New Roman"/>
        </w:rPr>
        <w:t>dehydrogenases</w:t>
      </w:r>
      <w:proofErr w:type="spellEnd"/>
      <w:r w:rsidRPr="009D64F0">
        <w:rPr>
          <w:rFonts w:ascii="Times New Roman" w:hAnsi="Times New Roman" w:cs="Times New Roman"/>
        </w:rPr>
        <w:t xml:space="preserve">, which can potentially also catalyze the NADPH-dependent primary alcohol formation because of their promiscuity </w:t>
      </w:r>
      <w:r w:rsidR="00D30F04">
        <w:rPr>
          <w:rFonts w:ascii="Times New Roman" w:hAnsi="Times New Roman" w:cs="Times New Roman"/>
        </w:rPr>
        <w:fldChar w:fldCharType="begin">
          <w:fldData xml:space="preserve">PEVuZE5vdGU+PENpdGU+PEF1dGhvcj5MYW1lZDwvQXV0aG9yPjxZZWFyPjE5ODE8L1llYXI+PFJl
Y051bT41MjwvUmVjTnVtPjxEaXNwbGF5VGV4dD5bMiwgM108L0Rpc3BsYXlUZXh0PjxyZWNvcmQ+
PHJlYy1udW1iZXI+NTI8L3JlYy1udW1iZXI+PGZvcmVpZ24ta2V5cz48a2V5IGFwcD0iRU4iIGRi
LWlkPSJkejlld3Ayd2dzMjk1d2VhcjBhdmY5eno5cmQwNXBwcjBhd3QiPjUyPC9rZXk+PC9mb3Jl
aWduLWtleXM+PHJlZi10eXBlIG5hbWU9IkpvdXJuYWwgQXJ0aWNsZSI+MTc8L3JlZi10eXBlPjxj
b250cmlidXRvcnM+PGF1dGhvcnM+PGF1dGhvcj5MYW1lZCwgUi4gSi48L2F1dGhvcj48YXV0aG9y
PlplaWt1cywgSi4gRy48L2F1dGhvcj48L2F1dGhvcnM+PC9jb250cmlidXRvcnM+PHRpdGxlcz48
dGl0bGU+Tm92ZWwgTkFEUC1saW5rZWQgYWxjb2hvbC0tYWxkZWh5ZGUva2V0b25lIG94aWRvcmVk
dWN0YXNlIGluIHRoZXJtb3BoaWxpYyBldGhhbm9sb2dlbmljIGJhY3RlcmlhPC90aXRsZT48c2Vj
b25kYXJ5LXRpdGxlPkJpb2NoZW0gSjwvc2Vjb25kYXJ5LXRpdGxlPjwvdGl0bGVzPjxwZXJpb2Rp
Y2FsPjxmdWxsLXRpdGxlPkJpb2NoZW0gSjwvZnVsbC10aXRsZT48L3BlcmlvZGljYWw+PHBhZ2Vz
PjE4My05MDwvcGFnZXM+PHZvbHVtZT4xOTU8L3ZvbHVtZT48bnVtYmVyPjE8L251bWJlcj48ZWRp
dGlvbj4xOTgxLzA0LzAxPC9lZGl0aW9uPjxrZXl3b3Jkcz48a2V5d29yZD4qQWxjb2hvbCBPeGlk
b3JlZHVjdGFzZXMvaXNvbGF0aW9uICZhbXA7IHB1cmlmaWNhdGlvbi9tZXRhYm9saXNtPC9rZXl3
b3JkPjxrZXl3b3JkPkFsZGVoeWRlcy9tZXRhYm9saXNtPC9rZXl3b3JkPjxrZXl3b3JkPkJhY3Rl
cmlhLyplbnp5bW9sb2d5PC9rZXl3b3JkPjxrZXl3b3JkPkNsb3N0cmlkaXVtLyplbnp5bW9sb2d5
PC9rZXl3b3JkPjxrZXl3b3JkPktldG9uZXMvbWV0YWJvbGlzbTwva2V5d29yZD48a2V5d29yZD5O
YWRwPC9rZXl3b3JkPjxrZXl3b3JkPlN1YnN0cmF0ZSBTcGVjaWZpY2l0eTwva2V5d29yZD48a2V5
d29yZD5UZW1wZXJhdHVyZTwva2V5d29yZD48L2tleXdvcmRzPjxkYXRlcz48eWVhcj4xOTgxPC95
ZWFyPjxwdWItZGF0ZXM+PGRhdGU+QXByIDE8L2RhdGU+PC9wdWItZGF0ZXM+PC9kYXRlcz48aXNi
bj4wMjY0LTYwMjEgKFByaW50KSYjeEQ7MDI2NC02MDIxIChMaW5raW5nKTwvaXNibj48YWNjZXNz
aW9uLW51bT43MDMwMzIxPC9hY2Nlc3Npb24tbnVtPjx1cmxzPjxyZWxhdGVkLXVybHM+PHVybD5o
dHRwOi8vd3d3Lm5jYmkubmxtLm5paC5nb3YvcHVibWVkLzcwMzAzMjE8L3VybD48L3JlbGF0ZWQt
dXJscz48L3VybHM+PGN1c3RvbTI+MTE2Mjg3MDwvY3VzdG9tMj48bGFuZ3VhZ2U+ZW5nPC9sYW5n
dWFnZT48L3JlY29yZD48L0NpdGU+PENpdGU+PEF1dGhvcj5Jc21haWVsPC9BdXRob3I+PFllYXI+
MTk5MzwvWWVhcj48UmVjTnVtPjUzPC9SZWNOdW0+PHJlY29yZD48cmVjLW51bWJlcj41MzwvcmVj
LW51bWJlcj48Zm9yZWlnbi1rZXlzPjxrZXkgYXBwPSJFTiIgZGItaWQ9ImR6OWV3cDJ3Z3MyOTV3
ZWFyMGF2Zjl6ejlyZDA1cHByMGF3dCI+NTM8L2tleT48L2ZvcmVpZ24ta2V5cz48cmVmLXR5cGUg
bmFtZT0iSm91cm5hbCBBcnRpY2xlIj4xNzwvcmVmLXR5cGU+PGNvbnRyaWJ1dG9ycz48YXV0aG9y
cz48YXV0aG9yPklzbWFpZWwsIEEuIEEuPC9hdXRob3I+PGF1dGhvcj5aaHUsIEMuIFguPC9hdXRo
b3I+PGF1dGhvcj5Db2xieSwgRy4gRC48L2F1dGhvcj48YXV0aG9yPkNoZW4sIEouIFMuPC9hdXRo
b3I+PC9hdXRob3JzPjwvY29udHJpYnV0b3JzPjxhdXRoLWFkZHJlc3M+RGVwYXJ0bWVudCBvZiBB
bmFlcm9iaWMgTWljcm9iaW9sb2d5LCBWaXJnaW5pYSBQb2x5dGVjaG5pYyBJbnN0aXR1dGUgYW5k
IFN0YXRlIFVuaXZlcnNpdHksIEJsYWNrc2J1cmcgMjQwNjEuPC9hdXRoLWFkZHJlc3M+PHRpdGxl
cz48dGl0bGU+UHVyaWZpY2F0aW9uIGFuZCBjaGFyYWN0ZXJpemF0aW9uIG9mIGEgcHJpbWFyeS1z
ZWNvbmRhcnkgYWxjb2hvbCBkZWh5ZHJvZ2VuYXNlIGZyb20gdHdvIHN0cmFpbnMgb2YgQ2xvc3Ry
aWRpdW0gYmVpamVyaW5ja2lpPC90aXRsZT48c2Vjb25kYXJ5LXRpdGxlPkogQmFjdGVyaW9sPC9z
ZWNvbmRhcnktdGl0bGU+PC90aXRsZXM+PHBlcmlvZGljYWw+PGZ1bGwtdGl0bGU+SiBCYWN0ZXJp
b2w8L2Z1bGwtdGl0bGU+PC9wZXJpb2RpY2FsPjxwYWdlcz41MDk3LTEwNTwvcGFnZXM+PHZvbHVt
ZT4xNzU8L3ZvbHVtZT48bnVtYmVyPjE2PC9udW1iZXI+PGVkaXRpb24+MTk5My8wOC8wMTwvZWRp
dGlvbj48a2V5d29yZHM+PGtleXdvcmQ+MS1CdXRhbm9sPC9rZXl3b3JkPjxrZXl3b3JkPjEtUHJv
cGFub2wvKm1ldGFib2xpc208L2tleXdvcmQ+PGtleXdvcmQ+QWxjb2hvbCBEZWh5ZHJvZ2VuYXNl
L2NoZW1pc3RyeS9pc29sYXRpb24gJmFtcDsgcHVyaWZpY2F0aW9uLyptZXRhYm9saXNtPC9rZXl3
b3JkPjxrZXl3b3JkPkFtaW5vIEFjaWQgU2VxdWVuY2U8L2tleXdvcmQ+PGtleXdvcmQ+QnV0YW5v
bHMvKm1ldGFib2xpc208L2tleXdvcmQ+PGtleXdvcmQ+Q2xvc3RyaWRpdW0vKmVuenltb2xvZ3k8
L2tleXdvcmQ+PGtleXdvcmQ+SHlkcm9nZW4tSW9uIENvbmNlbnRyYXRpb248L2tleXdvcmQ+PGtl
eXdvcmQ+SXJvbi9hbmFseXNpczwva2V5d29yZD48a2V5d29yZD5LaW5ldGljczwva2V5d29yZD48
a2V5d29yZD5Nb2xlY3VsYXIgU2VxdWVuY2UgRGF0YTwva2V5d29yZD48a2V5d29yZD5Nb2xlY3Vs
YXIgV2VpZ2h0PC9rZXl3b3JkPjxrZXl3b3JkPk5BRFAvbWV0YWJvbGlzbTwva2V5d29yZD48a2V5
d29yZD5PeGlkYXRpb24tUmVkdWN0aW9uPC9rZXl3b3JkPjxrZXl3b3JkPlNlcXVlbmNlIEhvbW9s
b2d5LCBBbWlubyBBY2lkPC9rZXl3b3JkPjxrZXl3b3JkPlNwZWNpZXMgU3BlY2lmaWNpdHk8L2tl
eXdvcmQ+PGtleXdvcmQ+U3Vic3RyYXRlIFNwZWNpZmljaXR5PC9rZXl3b3JkPjxrZXl3b3JkPlpp
bmMvYW5hbHlzaXM8L2tleXdvcmQ+PC9rZXl3b3Jkcz48ZGF0ZXM+PHllYXI+MTk5MzwveWVhcj48
cHViLWRhdGVzPjxkYXRlPkF1ZzwvZGF0ZT48L3B1Yi1kYXRlcz48L2RhdGVzPjxpc2JuPjAwMjEt
OTE5MyAoUHJpbnQpJiN4RDswMDIxLTkxOTMgKExpbmtpbmcpPC9pc2JuPjxhY2Nlc3Npb24tbnVt
PjgzNDk1NTA8L2FjY2Vzc2lvbi1udW0+PHVybHM+PHJlbGF0ZWQtdXJscz48dXJsPmh0dHA6Ly93
d3cubmNiaS5ubG0ubmloLmdvdi9wdWJtZWQvODM0OTU1MDwvdXJsPjwvcmVsYXRlZC11cmxzPjwv
dXJscz48Y3VzdG9tMj4yMDQ5NzY8L2N1c3RvbTI+PGxhbmd1YWdlPmVuZzwvbGFuZ3VhZ2U+PC9y
ZWNvcmQ+PC9DaXRlPjwvRW5kTm90ZT4A
</w:fldData>
        </w:fldChar>
      </w:r>
      <w:r w:rsidR="0067111C">
        <w:rPr>
          <w:rFonts w:ascii="Times New Roman" w:hAnsi="Times New Roman" w:cs="Times New Roman"/>
        </w:rPr>
        <w:instrText xml:space="preserve"> ADDIN EN.CITE </w:instrText>
      </w:r>
      <w:r w:rsidR="00D30F04">
        <w:rPr>
          <w:rFonts w:ascii="Times New Roman" w:hAnsi="Times New Roman" w:cs="Times New Roman"/>
        </w:rPr>
        <w:fldChar w:fldCharType="begin">
          <w:fldData xml:space="preserve">PEVuZE5vdGU+PENpdGU+PEF1dGhvcj5MYW1lZDwvQXV0aG9yPjxZZWFyPjE5ODE8L1llYXI+PFJl
Y051bT41MjwvUmVjTnVtPjxEaXNwbGF5VGV4dD5bMiwgM108L0Rpc3BsYXlUZXh0PjxyZWNvcmQ+
PHJlYy1udW1iZXI+NTI8L3JlYy1udW1iZXI+PGZvcmVpZ24ta2V5cz48a2V5IGFwcD0iRU4iIGRi
LWlkPSJkejlld3Ayd2dzMjk1d2VhcjBhdmY5eno5cmQwNXBwcjBhd3QiPjUyPC9rZXk+PC9mb3Jl
aWduLWtleXM+PHJlZi10eXBlIG5hbWU9IkpvdXJuYWwgQXJ0aWNsZSI+MTc8L3JlZi10eXBlPjxj
b250cmlidXRvcnM+PGF1dGhvcnM+PGF1dGhvcj5MYW1lZCwgUi4gSi48L2F1dGhvcj48YXV0aG9y
PlplaWt1cywgSi4gRy48L2F1dGhvcj48L2F1dGhvcnM+PC9jb250cmlidXRvcnM+PHRpdGxlcz48
dGl0bGU+Tm92ZWwgTkFEUC1saW5rZWQgYWxjb2hvbC0tYWxkZWh5ZGUva2V0b25lIG94aWRvcmVk
dWN0YXNlIGluIHRoZXJtb3BoaWxpYyBldGhhbm9sb2dlbmljIGJhY3RlcmlhPC90aXRsZT48c2Vj
b25kYXJ5LXRpdGxlPkJpb2NoZW0gSjwvc2Vjb25kYXJ5LXRpdGxlPjwvdGl0bGVzPjxwZXJpb2Rp
Y2FsPjxmdWxsLXRpdGxlPkJpb2NoZW0gSjwvZnVsbC10aXRsZT48L3BlcmlvZGljYWw+PHBhZ2Vz
PjE4My05MDwvcGFnZXM+PHZvbHVtZT4xOTU8L3ZvbHVtZT48bnVtYmVyPjE8L251bWJlcj48ZWRp
dGlvbj4xOTgxLzA0LzAxPC9lZGl0aW9uPjxrZXl3b3Jkcz48a2V5d29yZD4qQWxjb2hvbCBPeGlk
b3JlZHVjdGFzZXMvaXNvbGF0aW9uICZhbXA7IHB1cmlmaWNhdGlvbi9tZXRhYm9saXNtPC9rZXl3
b3JkPjxrZXl3b3JkPkFsZGVoeWRlcy9tZXRhYm9saXNtPC9rZXl3b3JkPjxrZXl3b3JkPkJhY3Rl
cmlhLyplbnp5bW9sb2d5PC9rZXl3b3JkPjxrZXl3b3JkPkNsb3N0cmlkaXVtLyplbnp5bW9sb2d5
PC9rZXl3b3JkPjxrZXl3b3JkPktldG9uZXMvbWV0YWJvbGlzbTwva2V5d29yZD48a2V5d29yZD5O
YWRwPC9rZXl3b3JkPjxrZXl3b3JkPlN1YnN0cmF0ZSBTcGVjaWZpY2l0eTwva2V5d29yZD48a2V5
d29yZD5UZW1wZXJhdHVyZTwva2V5d29yZD48L2tleXdvcmRzPjxkYXRlcz48eWVhcj4xOTgxPC95
ZWFyPjxwdWItZGF0ZXM+PGRhdGU+QXByIDE8L2RhdGU+PC9wdWItZGF0ZXM+PC9kYXRlcz48aXNi
bj4wMjY0LTYwMjEgKFByaW50KSYjeEQ7MDI2NC02MDIxIChMaW5raW5nKTwvaXNibj48YWNjZXNz
aW9uLW51bT43MDMwMzIxPC9hY2Nlc3Npb24tbnVtPjx1cmxzPjxyZWxhdGVkLXVybHM+PHVybD5o
dHRwOi8vd3d3Lm5jYmkubmxtLm5paC5nb3YvcHVibWVkLzcwMzAzMjE8L3VybD48L3JlbGF0ZWQt
dXJscz48L3VybHM+PGN1c3RvbTI+MTE2Mjg3MDwvY3VzdG9tMj48bGFuZ3VhZ2U+ZW5nPC9sYW5n
dWFnZT48L3JlY29yZD48L0NpdGU+PENpdGU+PEF1dGhvcj5Jc21haWVsPC9BdXRob3I+PFllYXI+
MTk5MzwvWWVhcj48UmVjTnVtPjUzPC9SZWNOdW0+PHJlY29yZD48cmVjLW51bWJlcj41MzwvcmVj
LW51bWJlcj48Zm9yZWlnbi1rZXlzPjxrZXkgYXBwPSJFTiIgZGItaWQ9ImR6OWV3cDJ3Z3MyOTV3
ZWFyMGF2Zjl6ejlyZDA1cHByMGF3dCI+NTM8L2tleT48L2ZvcmVpZ24ta2V5cz48cmVmLXR5cGUg
bmFtZT0iSm91cm5hbCBBcnRpY2xlIj4xNzwvcmVmLXR5cGU+PGNvbnRyaWJ1dG9ycz48YXV0aG9y
cz48YXV0aG9yPklzbWFpZWwsIEEuIEEuPC9hdXRob3I+PGF1dGhvcj5aaHUsIEMuIFguPC9hdXRo
b3I+PGF1dGhvcj5Db2xieSwgRy4gRC48L2F1dGhvcj48YXV0aG9yPkNoZW4sIEouIFMuPC9hdXRo
b3I+PC9hdXRob3JzPjwvY29udHJpYnV0b3JzPjxhdXRoLWFkZHJlc3M+RGVwYXJ0bWVudCBvZiBB
bmFlcm9iaWMgTWljcm9iaW9sb2d5LCBWaXJnaW5pYSBQb2x5dGVjaG5pYyBJbnN0aXR1dGUgYW5k
IFN0YXRlIFVuaXZlcnNpdHksIEJsYWNrc2J1cmcgMjQwNjEuPC9hdXRoLWFkZHJlc3M+PHRpdGxl
cz48dGl0bGU+UHVyaWZpY2F0aW9uIGFuZCBjaGFyYWN0ZXJpemF0aW9uIG9mIGEgcHJpbWFyeS1z
ZWNvbmRhcnkgYWxjb2hvbCBkZWh5ZHJvZ2VuYXNlIGZyb20gdHdvIHN0cmFpbnMgb2YgQ2xvc3Ry
aWRpdW0gYmVpamVyaW5ja2lpPC90aXRsZT48c2Vjb25kYXJ5LXRpdGxlPkogQmFjdGVyaW9sPC9z
ZWNvbmRhcnktdGl0bGU+PC90aXRsZXM+PHBlcmlvZGljYWw+PGZ1bGwtdGl0bGU+SiBCYWN0ZXJp
b2w8L2Z1bGwtdGl0bGU+PC9wZXJpb2RpY2FsPjxwYWdlcz41MDk3LTEwNTwvcGFnZXM+PHZvbHVt
ZT4xNzU8L3ZvbHVtZT48bnVtYmVyPjE2PC9udW1iZXI+PGVkaXRpb24+MTk5My8wOC8wMTwvZWRp
dGlvbj48a2V5d29yZHM+PGtleXdvcmQ+MS1CdXRhbm9sPC9rZXl3b3JkPjxrZXl3b3JkPjEtUHJv
cGFub2wvKm1ldGFib2xpc208L2tleXdvcmQ+PGtleXdvcmQ+QWxjb2hvbCBEZWh5ZHJvZ2VuYXNl
L2NoZW1pc3RyeS9pc29sYXRpb24gJmFtcDsgcHVyaWZpY2F0aW9uLyptZXRhYm9saXNtPC9rZXl3
b3JkPjxrZXl3b3JkPkFtaW5vIEFjaWQgU2VxdWVuY2U8L2tleXdvcmQ+PGtleXdvcmQ+QnV0YW5v
bHMvKm1ldGFib2xpc208L2tleXdvcmQ+PGtleXdvcmQ+Q2xvc3RyaWRpdW0vKmVuenltb2xvZ3k8
L2tleXdvcmQ+PGtleXdvcmQ+SHlkcm9nZW4tSW9uIENvbmNlbnRyYXRpb248L2tleXdvcmQ+PGtl
eXdvcmQ+SXJvbi9hbmFseXNpczwva2V5d29yZD48a2V5d29yZD5LaW5ldGljczwva2V5d29yZD48
a2V5d29yZD5Nb2xlY3VsYXIgU2VxdWVuY2UgRGF0YTwva2V5d29yZD48a2V5d29yZD5Nb2xlY3Vs
YXIgV2VpZ2h0PC9rZXl3b3JkPjxrZXl3b3JkPk5BRFAvbWV0YWJvbGlzbTwva2V5d29yZD48a2V5
d29yZD5PeGlkYXRpb24tUmVkdWN0aW9uPC9rZXl3b3JkPjxrZXl3b3JkPlNlcXVlbmNlIEhvbW9s
b2d5LCBBbWlubyBBY2lkPC9rZXl3b3JkPjxrZXl3b3JkPlNwZWNpZXMgU3BlY2lmaWNpdHk8L2tl
eXdvcmQ+PGtleXdvcmQ+U3Vic3RyYXRlIFNwZWNpZmljaXR5PC9rZXl3b3JkPjxrZXl3b3JkPlpp
bmMvYW5hbHlzaXM8L2tleXdvcmQ+PC9rZXl3b3Jkcz48ZGF0ZXM+PHllYXI+MTk5MzwveWVhcj48
cHViLWRhdGVzPjxkYXRlPkF1ZzwvZGF0ZT48L3B1Yi1kYXRlcz48L2RhdGVzPjxpc2JuPjAwMjEt
OTE5MyAoUHJpbnQpJiN4RDswMDIxLTkxOTMgKExpbmtpbmcpPC9pc2JuPjxhY2Nlc3Npb24tbnVt
PjgzNDk1NTA8L2FjY2Vzc2lvbi1udW0+PHVybHM+PHJlbGF0ZWQtdXJscz48dXJsPmh0dHA6Ly93
d3cubmNiaS5ubG0ubmloLmdvdi9wdWJtZWQvODM0OTU1MDwvdXJsPjwvcmVsYXRlZC11cmxzPjwv
dXJscz48Y3VzdG9tMj4yMDQ5NzY8L2N1c3RvbTI+PGxhbmd1YWdlPmVuZzwvbGFuZ3VhZ2U+PC9y
ZWNvcmQ+PC9DaXRlPjwvRW5kTm90ZT4A
</w:fldData>
        </w:fldChar>
      </w:r>
      <w:r w:rsidR="0067111C">
        <w:rPr>
          <w:rFonts w:ascii="Times New Roman" w:hAnsi="Times New Roman" w:cs="Times New Roman"/>
        </w:rPr>
        <w:instrText xml:space="preserve"> ADDIN EN.CITE.DATA </w:instrText>
      </w:r>
      <w:r w:rsidR="00D30F04">
        <w:rPr>
          <w:rFonts w:ascii="Times New Roman" w:hAnsi="Times New Roman" w:cs="Times New Roman"/>
        </w:rPr>
      </w:r>
      <w:r w:rsidR="00D30F04">
        <w:rPr>
          <w:rFonts w:ascii="Times New Roman" w:hAnsi="Times New Roman" w:cs="Times New Roman"/>
        </w:rPr>
        <w:fldChar w:fldCharType="end"/>
      </w:r>
      <w:r w:rsidR="00D30F04">
        <w:rPr>
          <w:rFonts w:ascii="Times New Roman" w:hAnsi="Times New Roman" w:cs="Times New Roman"/>
        </w:rPr>
      </w:r>
      <w:r w:rsidR="00D30F04">
        <w:rPr>
          <w:rFonts w:ascii="Times New Roman" w:hAnsi="Times New Roman" w:cs="Times New Roman"/>
        </w:rPr>
        <w:fldChar w:fldCharType="separate"/>
      </w:r>
      <w:r w:rsidR="0067111C">
        <w:rPr>
          <w:rFonts w:ascii="Times New Roman" w:hAnsi="Times New Roman" w:cs="Times New Roman"/>
          <w:noProof/>
        </w:rPr>
        <w:t>[</w:t>
      </w:r>
      <w:r w:rsidR="00B117E9">
        <w:rPr>
          <w:rFonts w:ascii="Times New Roman" w:hAnsi="Times New Roman" w:cs="Times New Roman"/>
          <w:noProof/>
        </w:rPr>
        <w:t>S</w:t>
      </w:r>
      <w:hyperlink w:anchor="_ENREF_2" w:tooltip="Lamed, 1981 #52" w:history="1">
        <w:r w:rsidR="0067111C">
          <w:rPr>
            <w:rFonts w:ascii="Times New Roman" w:hAnsi="Times New Roman" w:cs="Times New Roman"/>
            <w:noProof/>
          </w:rPr>
          <w:t>2</w:t>
        </w:r>
      </w:hyperlink>
      <w:r w:rsidR="0067111C">
        <w:rPr>
          <w:rFonts w:ascii="Times New Roman" w:hAnsi="Times New Roman" w:cs="Times New Roman"/>
          <w:noProof/>
        </w:rPr>
        <w:t xml:space="preserve">, </w:t>
      </w:r>
      <w:r w:rsidR="00B117E9">
        <w:rPr>
          <w:rFonts w:ascii="Times New Roman" w:hAnsi="Times New Roman" w:cs="Times New Roman"/>
          <w:noProof/>
        </w:rPr>
        <w:t>S</w:t>
      </w:r>
      <w:hyperlink w:anchor="_ENREF_3" w:tooltip="Ismaiel, 1993 #53" w:history="1">
        <w:r w:rsidR="0067111C">
          <w:rPr>
            <w:rFonts w:ascii="Times New Roman" w:hAnsi="Times New Roman" w:cs="Times New Roman"/>
            <w:noProof/>
          </w:rPr>
          <w:t>3</w:t>
        </w:r>
      </w:hyperlink>
      <w:r w:rsidR="0067111C">
        <w:rPr>
          <w:rFonts w:ascii="Times New Roman" w:hAnsi="Times New Roman" w:cs="Times New Roman"/>
          <w:noProof/>
        </w:rPr>
        <w:t>]</w:t>
      </w:r>
      <w:r w:rsidR="00D30F04">
        <w:rPr>
          <w:rFonts w:ascii="Times New Roman" w:hAnsi="Times New Roman" w:cs="Times New Roman"/>
        </w:rPr>
        <w:fldChar w:fldCharType="end"/>
      </w:r>
      <w:r w:rsidR="00595EE6" w:rsidRPr="00595EE6">
        <w:rPr>
          <w:rFonts w:ascii="Times New Roman" w:hAnsi="Times New Roman" w:cs="Times New Roman"/>
        </w:rPr>
        <w:t xml:space="preserve"> </w:t>
      </w:r>
      <w:r w:rsidRPr="009D64F0">
        <w:rPr>
          <w:rFonts w:ascii="Times New Roman" w:hAnsi="Times New Roman" w:cs="Times New Roman"/>
        </w:rPr>
        <w:t xml:space="preserve">and/or further reduce the product of </w:t>
      </w:r>
      <w:proofErr w:type="spellStart"/>
      <w:r w:rsidRPr="009D64F0">
        <w:rPr>
          <w:rFonts w:ascii="Times New Roman" w:hAnsi="Times New Roman" w:cs="Times New Roman"/>
        </w:rPr>
        <w:t>yqhD</w:t>
      </w:r>
      <w:proofErr w:type="spellEnd"/>
      <w:r w:rsidRPr="009D64F0">
        <w:rPr>
          <w:rFonts w:ascii="Times New Roman" w:hAnsi="Times New Roman" w:cs="Times New Roman"/>
        </w:rPr>
        <w:t xml:space="preserve"> reaction using NAD</w:t>
      </w:r>
      <w:r>
        <w:rPr>
          <w:rFonts w:ascii="Times New Roman" w:hAnsi="Times New Roman" w:cs="Times New Roman"/>
        </w:rPr>
        <w:t>PH</w:t>
      </w:r>
      <w:r w:rsidRPr="009D64F0">
        <w:rPr>
          <w:rFonts w:ascii="Times New Roman" w:hAnsi="Times New Roman" w:cs="Times New Roman"/>
        </w:rPr>
        <w:t>.</w:t>
      </w:r>
      <w:r w:rsidR="007245B7">
        <w:rPr>
          <w:rFonts w:ascii="Times New Roman" w:hAnsi="Times New Roman" w:cs="Times New Roman"/>
        </w:rPr>
        <w:t xml:space="preserve"> This may contribute to the higher apparent activities in LH22 and LH23, as these side reactions also consume NADPH and affect the absorbance at 340nm</w:t>
      </w:r>
      <w:r w:rsidR="00C4417C">
        <w:rPr>
          <w:rFonts w:ascii="Times New Roman" w:hAnsi="Times New Roman" w:cs="Times New Roman"/>
        </w:rPr>
        <w:t xml:space="preserve"> (see Method)</w:t>
      </w:r>
      <w:r w:rsidR="007245B7">
        <w:rPr>
          <w:rFonts w:ascii="Times New Roman" w:hAnsi="Times New Roman" w:cs="Times New Roman"/>
        </w:rPr>
        <w:t xml:space="preserve">.  </w:t>
      </w:r>
      <w:r w:rsidRPr="009D64F0">
        <w:rPr>
          <w:rFonts w:ascii="Times New Roman" w:hAnsi="Times New Roman" w:cs="Times New Roman"/>
        </w:rPr>
        <w:t xml:space="preserve"> </w:t>
      </w:r>
      <w:r w:rsidR="007245B7">
        <w:rPr>
          <w:rFonts w:ascii="Times New Roman" w:hAnsi="Times New Roman" w:cs="Times New Roman"/>
        </w:rPr>
        <w:t xml:space="preserve"> </w:t>
      </w:r>
    </w:p>
    <w:p w:rsidR="009D64F0" w:rsidRDefault="009D64F0" w:rsidP="0067111C">
      <w:pPr>
        <w:jc w:val="both"/>
        <w:rPr>
          <w:rFonts w:ascii="Times New Roman" w:hAnsi="Times New Roman" w:cs="Times New Roman"/>
        </w:rPr>
      </w:pPr>
      <w:r w:rsidRPr="009D64F0">
        <w:rPr>
          <w:rFonts w:ascii="Times New Roman" w:hAnsi="Times New Roman" w:cs="Times New Roman"/>
        </w:rPr>
        <w:t xml:space="preserve">However, several lines of evidence may imply that </w:t>
      </w:r>
      <w:proofErr w:type="spellStart"/>
      <w:r w:rsidRPr="009D64F0">
        <w:rPr>
          <w:rFonts w:ascii="Times New Roman" w:hAnsi="Times New Roman" w:cs="Times New Roman"/>
          <w:i/>
        </w:rPr>
        <w:t>yqhD</w:t>
      </w:r>
      <w:proofErr w:type="spellEnd"/>
      <w:r w:rsidRPr="009D64F0">
        <w:rPr>
          <w:rFonts w:ascii="Times New Roman" w:hAnsi="Times New Roman" w:cs="Times New Roman"/>
        </w:rPr>
        <w:t xml:space="preserve"> is also functionally </w:t>
      </w:r>
      <w:proofErr w:type="spellStart"/>
      <w:r w:rsidRPr="009D64F0">
        <w:rPr>
          <w:rFonts w:ascii="Times New Roman" w:hAnsi="Times New Roman" w:cs="Times New Roman"/>
        </w:rPr>
        <w:t>overexpressed</w:t>
      </w:r>
      <w:proofErr w:type="spellEnd"/>
      <w:r w:rsidRPr="009D64F0">
        <w:rPr>
          <w:rFonts w:ascii="Times New Roman" w:hAnsi="Times New Roman" w:cs="Times New Roman"/>
        </w:rPr>
        <w:t xml:space="preserve"> in LH22 and LH23. First, since the last gene in the </w:t>
      </w:r>
      <w:proofErr w:type="spellStart"/>
      <w:r w:rsidRPr="009D64F0">
        <w:rPr>
          <w:rFonts w:ascii="Times New Roman" w:hAnsi="Times New Roman" w:cs="Times New Roman"/>
        </w:rPr>
        <w:t>operon</w:t>
      </w:r>
      <w:proofErr w:type="spellEnd"/>
      <w:r w:rsidRPr="009D64F0">
        <w:rPr>
          <w:rFonts w:ascii="Times New Roman" w:hAnsi="Times New Roman" w:cs="Times New Roman"/>
        </w:rPr>
        <w:t xml:space="preserve">, </w:t>
      </w:r>
      <w:proofErr w:type="spellStart"/>
      <w:r w:rsidRPr="009D64F0">
        <w:rPr>
          <w:rFonts w:ascii="Times New Roman" w:hAnsi="Times New Roman" w:cs="Times New Roman"/>
          <w:i/>
        </w:rPr>
        <w:t>mgsA</w:t>
      </w:r>
      <w:proofErr w:type="spellEnd"/>
      <w:r w:rsidRPr="009D64F0">
        <w:rPr>
          <w:rFonts w:ascii="Times New Roman" w:hAnsi="Times New Roman" w:cs="Times New Roman"/>
        </w:rPr>
        <w:t xml:space="preserve">, is suggested to be </w:t>
      </w:r>
      <w:proofErr w:type="spellStart"/>
      <w:r w:rsidRPr="009D64F0">
        <w:rPr>
          <w:rFonts w:ascii="Times New Roman" w:hAnsi="Times New Roman" w:cs="Times New Roman"/>
        </w:rPr>
        <w:t>overexpressed</w:t>
      </w:r>
      <w:proofErr w:type="spellEnd"/>
      <w:r w:rsidRPr="009D64F0">
        <w:rPr>
          <w:rFonts w:ascii="Times New Roman" w:hAnsi="Times New Roman" w:cs="Times New Roman"/>
        </w:rPr>
        <w:t xml:space="preserve"> with similar levels in all three strains (</w:t>
      </w:r>
      <w:r w:rsidR="007245B7">
        <w:rPr>
          <w:rFonts w:ascii="Times New Roman" w:hAnsi="Times New Roman" w:cs="Times New Roman"/>
        </w:rPr>
        <w:t>Figure 4A</w:t>
      </w:r>
      <w:r w:rsidRPr="009D64F0">
        <w:rPr>
          <w:rFonts w:ascii="Times New Roman" w:hAnsi="Times New Roman" w:cs="Times New Roman"/>
        </w:rPr>
        <w:t xml:space="preserve">), the transcriptional level and mRNA stability of the whole synthetic </w:t>
      </w:r>
      <w:proofErr w:type="spellStart"/>
      <w:r w:rsidRPr="009D64F0">
        <w:rPr>
          <w:rFonts w:ascii="Times New Roman" w:hAnsi="Times New Roman" w:cs="Times New Roman"/>
        </w:rPr>
        <w:t>operon</w:t>
      </w:r>
      <w:proofErr w:type="spellEnd"/>
      <w:r w:rsidRPr="009D64F0">
        <w:rPr>
          <w:rFonts w:ascii="Times New Roman" w:hAnsi="Times New Roman" w:cs="Times New Roman"/>
        </w:rPr>
        <w:t xml:space="preserve"> should be similar in all three strains. Second, because the </w:t>
      </w:r>
      <w:proofErr w:type="spellStart"/>
      <w:r w:rsidRPr="009D64F0">
        <w:rPr>
          <w:rFonts w:ascii="Times New Roman" w:hAnsi="Times New Roman" w:cs="Times New Roman"/>
          <w:i/>
        </w:rPr>
        <w:t>yqhD</w:t>
      </w:r>
      <w:proofErr w:type="spellEnd"/>
      <w:r w:rsidRPr="009D64F0">
        <w:rPr>
          <w:rFonts w:ascii="Times New Roman" w:hAnsi="Times New Roman" w:cs="Times New Roman"/>
        </w:rPr>
        <w:t xml:space="preserve"> genes in all three strains have identical sequence and ribosomal-binding site (RBS) and are located at the same position in the synthetic </w:t>
      </w:r>
      <w:proofErr w:type="spellStart"/>
      <w:r w:rsidRPr="009D64F0">
        <w:rPr>
          <w:rFonts w:ascii="Times New Roman" w:hAnsi="Times New Roman" w:cs="Times New Roman"/>
        </w:rPr>
        <w:t>operon</w:t>
      </w:r>
      <w:proofErr w:type="spellEnd"/>
      <w:r w:rsidRPr="009D64F0">
        <w:rPr>
          <w:rFonts w:ascii="Times New Roman" w:hAnsi="Times New Roman" w:cs="Times New Roman"/>
        </w:rPr>
        <w:t xml:space="preserve"> </w:t>
      </w:r>
      <w:r w:rsidR="007245B7" w:rsidRPr="007245B7">
        <w:rPr>
          <w:rFonts w:ascii="Times New Roman" w:hAnsi="Times New Roman" w:cs="Times New Roman"/>
        </w:rPr>
        <w:t>(Fig</w:t>
      </w:r>
      <w:r w:rsidR="00E2189D">
        <w:rPr>
          <w:rFonts w:ascii="Times New Roman" w:hAnsi="Times New Roman" w:cs="Times New Roman"/>
        </w:rPr>
        <w:t>ure</w:t>
      </w:r>
      <w:r w:rsidR="007245B7" w:rsidRPr="007245B7">
        <w:rPr>
          <w:rFonts w:ascii="Times New Roman" w:hAnsi="Times New Roman" w:cs="Times New Roman"/>
        </w:rPr>
        <w:t xml:space="preserve"> 2A</w:t>
      </w:r>
      <w:r w:rsidRPr="007245B7">
        <w:rPr>
          <w:rFonts w:ascii="Times New Roman" w:hAnsi="Times New Roman" w:cs="Times New Roman"/>
        </w:rPr>
        <w:t>)</w:t>
      </w:r>
      <w:r w:rsidRPr="009D64F0">
        <w:rPr>
          <w:rFonts w:ascii="Times New Roman" w:hAnsi="Times New Roman" w:cs="Times New Roman"/>
        </w:rPr>
        <w:t xml:space="preserve">, the translational level of this gene and the folding behavior of its product might be similar in all three strains. However, to directly pinpoint the activity level of </w:t>
      </w:r>
      <w:proofErr w:type="spellStart"/>
      <w:r w:rsidRPr="009D64F0">
        <w:rPr>
          <w:rFonts w:ascii="Times New Roman" w:hAnsi="Times New Roman" w:cs="Times New Roman"/>
        </w:rPr>
        <w:t>yqhD</w:t>
      </w:r>
      <w:proofErr w:type="spellEnd"/>
      <w:r w:rsidRPr="009D64F0">
        <w:rPr>
          <w:rFonts w:ascii="Times New Roman" w:hAnsi="Times New Roman" w:cs="Times New Roman"/>
        </w:rPr>
        <w:t xml:space="preserve"> in these strains, a more specific activity assay other than the NADPH-consumption based assay needs to be developed.</w:t>
      </w:r>
    </w:p>
    <w:p w:rsidR="0067111C" w:rsidRDefault="0067111C" w:rsidP="0067111C">
      <w:pPr>
        <w:jc w:val="center"/>
        <w:rPr>
          <w:rFonts w:ascii="Times New Roman" w:hAnsi="Times New Roman" w:cs="Times New Roman"/>
        </w:rPr>
      </w:pPr>
      <w:r w:rsidRPr="0067111C">
        <w:rPr>
          <w:rFonts w:ascii="Times New Roman" w:hAnsi="Times New Roman" w:cs="Times New Roman"/>
          <w:noProof/>
        </w:rPr>
        <w:drawing>
          <wp:inline distT="0" distB="0" distL="0" distR="0">
            <wp:extent cx="3018348" cy="1653871"/>
            <wp:effectExtent l="19050" t="0" r="10602" b="3479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7111C" w:rsidRDefault="0067111C" w:rsidP="0052591D">
      <w:pPr>
        <w:jc w:val="center"/>
        <w:rPr>
          <w:rFonts w:ascii="Times New Roman" w:hAnsi="Times New Roman" w:cs="Times New Roman"/>
        </w:rPr>
      </w:pPr>
      <w:r w:rsidRPr="0067111C">
        <w:rPr>
          <w:rFonts w:ascii="Times New Roman" w:hAnsi="Times New Roman" w:cs="Times New Roman"/>
        </w:rPr>
        <w:t xml:space="preserve">Figure S1 NADPH-dependent </w:t>
      </w:r>
      <w:proofErr w:type="spellStart"/>
      <w:r w:rsidRPr="0067111C">
        <w:rPr>
          <w:rFonts w:ascii="Times New Roman" w:hAnsi="Times New Roman" w:cs="Times New Roman"/>
        </w:rPr>
        <w:t>methyglyoxal</w:t>
      </w:r>
      <w:proofErr w:type="spellEnd"/>
      <w:r w:rsidRPr="0067111C">
        <w:rPr>
          <w:rFonts w:ascii="Times New Roman" w:hAnsi="Times New Roman" w:cs="Times New Roman"/>
        </w:rPr>
        <w:t xml:space="preserve"> reduction activities measured using cell </w:t>
      </w:r>
      <w:proofErr w:type="spellStart"/>
      <w:r w:rsidRPr="0067111C">
        <w:rPr>
          <w:rFonts w:ascii="Times New Roman" w:hAnsi="Times New Roman" w:cs="Times New Roman"/>
        </w:rPr>
        <w:t>lysates</w:t>
      </w:r>
      <w:proofErr w:type="spellEnd"/>
      <w:r w:rsidRPr="0067111C">
        <w:rPr>
          <w:rFonts w:ascii="Times New Roman" w:hAnsi="Times New Roman" w:cs="Times New Roman"/>
        </w:rPr>
        <w:t>.</w:t>
      </w:r>
    </w:p>
    <w:p w:rsidR="00001124" w:rsidRDefault="00001124" w:rsidP="0052591D">
      <w:pPr>
        <w:jc w:val="center"/>
        <w:rPr>
          <w:rFonts w:ascii="Times New Roman" w:hAnsi="Times New Roman" w:cs="Times New Roman"/>
        </w:rPr>
      </w:pPr>
    </w:p>
    <w:p w:rsidR="00001124" w:rsidRPr="00001124" w:rsidRDefault="00001124" w:rsidP="00001124">
      <w:pPr>
        <w:rPr>
          <w:rFonts w:ascii="Times New Roman" w:hAnsi="Times New Roman" w:cs="Times New Roman"/>
          <w:b/>
        </w:rPr>
      </w:pPr>
      <w:proofErr w:type="spellStart"/>
      <w:r w:rsidRPr="00001124">
        <w:rPr>
          <w:rFonts w:ascii="Times New Roman" w:hAnsi="Times New Roman" w:cs="Times New Roman"/>
          <w:b/>
        </w:rPr>
        <w:t>Inducibility</w:t>
      </w:r>
      <w:proofErr w:type="spellEnd"/>
      <w:r w:rsidRPr="00001124">
        <w:rPr>
          <w:rFonts w:ascii="Times New Roman" w:hAnsi="Times New Roman" w:cs="Times New Roman"/>
          <w:b/>
        </w:rPr>
        <w:t xml:space="preserve"> of the synthetic pathways</w:t>
      </w:r>
    </w:p>
    <w:p w:rsidR="00001124" w:rsidRDefault="00001124" w:rsidP="00001124">
      <w:pPr>
        <w:jc w:val="both"/>
        <w:rPr>
          <w:rFonts w:ascii="Times New Roman" w:hAnsi="Times New Roman" w:cs="Times New Roman"/>
        </w:rPr>
      </w:pPr>
      <w:r w:rsidRPr="00001124">
        <w:rPr>
          <w:rFonts w:ascii="Times New Roman" w:hAnsi="Times New Roman" w:cs="Times New Roman"/>
        </w:rPr>
        <w:t xml:space="preserve">As an example, the activity of </w:t>
      </w:r>
      <w:r w:rsidRPr="00CF70E0">
        <w:rPr>
          <w:rFonts w:ascii="Times New Roman" w:hAnsi="Times New Roman" w:cs="Times New Roman"/>
          <w:i/>
        </w:rPr>
        <w:t xml:space="preserve">Clostridium </w:t>
      </w:r>
      <w:proofErr w:type="spellStart"/>
      <w:r w:rsidRPr="00CF70E0">
        <w:rPr>
          <w:rFonts w:ascii="Times New Roman" w:hAnsi="Times New Roman" w:cs="Times New Roman"/>
          <w:i/>
        </w:rPr>
        <w:t>beijerinckii</w:t>
      </w:r>
      <w:proofErr w:type="spellEnd"/>
      <w:r>
        <w:rPr>
          <w:rFonts w:ascii="Times New Roman" w:hAnsi="Times New Roman" w:cs="Times New Roman"/>
        </w:rPr>
        <w:t xml:space="preserve"> secondary alcohol </w:t>
      </w:r>
      <w:proofErr w:type="spellStart"/>
      <w:r>
        <w:rPr>
          <w:rFonts w:ascii="Times New Roman" w:hAnsi="Times New Roman" w:cs="Times New Roman"/>
        </w:rPr>
        <w:t>dehydrogenase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 w:rsidRPr="00001124">
        <w:rPr>
          <w:rFonts w:ascii="Times New Roman" w:hAnsi="Times New Roman" w:cs="Times New Roman"/>
        </w:rPr>
        <w:t>sADH</w:t>
      </w:r>
      <w:proofErr w:type="spellEnd"/>
      <w:r>
        <w:rPr>
          <w:rFonts w:ascii="Times New Roman" w:hAnsi="Times New Roman" w:cs="Times New Roman"/>
        </w:rPr>
        <w:t>)</w:t>
      </w:r>
      <w:r w:rsidRPr="000011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the substrate </w:t>
      </w:r>
      <w:proofErr w:type="spellStart"/>
      <w:r>
        <w:rPr>
          <w:rFonts w:ascii="Times New Roman" w:hAnsi="Times New Roman" w:cs="Times New Roman"/>
        </w:rPr>
        <w:t>acetol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01124">
        <w:rPr>
          <w:rFonts w:ascii="Times New Roman" w:hAnsi="Times New Roman" w:cs="Times New Roman"/>
        </w:rPr>
        <w:t>in LH22 was measured with and without IPTG induction (</w:t>
      </w:r>
      <w:r>
        <w:rPr>
          <w:rFonts w:ascii="Times New Roman" w:hAnsi="Times New Roman" w:cs="Times New Roman"/>
        </w:rPr>
        <w:t>Figure S2</w:t>
      </w:r>
      <w:r w:rsidRPr="00001124">
        <w:rPr>
          <w:rFonts w:ascii="Times New Roman" w:hAnsi="Times New Roman" w:cs="Times New Roman"/>
        </w:rPr>
        <w:t xml:space="preserve">). The results suggested that IPTG effectively induced the expression of this enzyme. And since identical </w:t>
      </w:r>
      <w:r w:rsidRPr="00001124">
        <w:rPr>
          <w:rFonts w:ascii="Times New Roman" w:hAnsi="Times New Roman" w:cs="Times New Roman"/>
        </w:rPr>
        <w:lastRenderedPageBreak/>
        <w:t>promoter/operator/repressor setup was used in all three strains, same induction effect can be implied for other genes.</w:t>
      </w:r>
    </w:p>
    <w:p w:rsidR="00001124" w:rsidRDefault="00001124" w:rsidP="00001124">
      <w:pPr>
        <w:jc w:val="center"/>
        <w:rPr>
          <w:rFonts w:ascii="Times New Roman" w:hAnsi="Times New Roman" w:cs="Times New Roman"/>
        </w:rPr>
      </w:pPr>
      <w:r w:rsidRPr="00001124">
        <w:rPr>
          <w:rFonts w:ascii="Times New Roman" w:hAnsi="Times New Roman" w:cs="Times New Roman"/>
          <w:noProof/>
        </w:rPr>
        <w:drawing>
          <wp:inline distT="0" distB="0" distL="0" distR="0">
            <wp:extent cx="2742316" cy="1932167"/>
            <wp:effectExtent l="19050" t="0" r="19934" b="0"/>
            <wp:docPr id="1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01124" w:rsidRDefault="00001124" w:rsidP="00D76B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S2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</w:t>
      </w:r>
      <w:r w:rsidRPr="00CF70E0">
        <w:rPr>
          <w:rFonts w:ascii="Times New Roman" w:hAnsi="Times New Roman" w:cs="Times New Roman"/>
          <w:i/>
        </w:rPr>
        <w:t xml:space="preserve">Clostridium </w:t>
      </w:r>
      <w:proofErr w:type="spellStart"/>
      <w:r w:rsidRPr="00CF70E0">
        <w:rPr>
          <w:rFonts w:ascii="Times New Roman" w:hAnsi="Times New Roman" w:cs="Times New Roman"/>
          <w:i/>
        </w:rPr>
        <w:t>beijerinckii</w:t>
      </w:r>
      <w:proofErr w:type="spellEnd"/>
      <w:r>
        <w:rPr>
          <w:rFonts w:ascii="Times New Roman" w:hAnsi="Times New Roman" w:cs="Times New Roman"/>
        </w:rPr>
        <w:t xml:space="preserve"> secondary alcohol </w:t>
      </w:r>
      <w:proofErr w:type="spellStart"/>
      <w:r>
        <w:rPr>
          <w:rFonts w:ascii="Times New Roman" w:hAnsi="Times New Roman" w:cs="Times New Roman"/>
        </w:rPr>
        <w:t>dehydrogenase</w:t>
      </w:r>
      <w:proofErr w:type="spellEnd"/>
      <w:r>
        <w:rPr>
          <w:rFonts w:ascii="Times New Roman" w:hAnsi="Times New Roman" w:cs="Times New Roman"/>
        </w:rPr>
        <w:t xml:space="preserve"> activity measured using cell </w:t>
      </w:r>
      <w:proofErr w:type="spellStart"/>
      <w:r>
        <w:rPr>
          <w:rFonts w:ascii="Times New Roman" w:hAnsi="Times New Roman" w:cs="Times New Roman"/>
        </w:rPr>
        <w:t>lysate</w:t>
      </w:r>
      <w:proofErr w:type="spellEnd"/>
      <w:r>
        <w:rPr>
          <w:rFonts w:ascii="Times New Roman" w:hAnsi="Times New Roman" w:cs="Times New Roman"/>
        </w:rPr>
        <w:t xml:space="preserve"> of LH22 with and without 1mM IPTG induction. The activity was measured for the substrate </w:t>
      </w:r>
      <w:proofErr w:type="spellStart"/>
      <w:r>
        <w:rPr>
          <w:rFonts w:ascii="Times New Roman" w:hAnsi="Times New Roman" w:cs="Times New Roman"/>
        </w:rPr>
        <w:t>acetol</w:t>
      </w:r>
      <w:proofErr w:type="spellEnd"/>
      <w:r>
        <w:rPr>
          <w:rFonts w:ascii="Times New Roman" w:hAnsi="Times New Roman" w:cs="Times New Roman"/>
        </w:rPr>
        <w:t>.</w:t>
      </w:r>
    </w:p>
    <w:p w:rsidR="00D76BDA" w:rsidRDefault="00D76BDA" w:rsidP="00D76BDA">
      <w:pPr>
        <w:jc w:val="both"/>
        <w:rPr>
          <w:rFonts w:ascii="Times New Roman" w:hAnsi="Times New Roman" w:cs="Times New Roman"/>
        </w:rPr>
      </w:pPr>
    </w:p>
    <w:p w:rsidR="0067111C" w:rsidRDefault="0067111C" w:rsidP="006711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Reference</w:t>
      </w:r>
    </w:p>
    <w:p w:rsidR="0067111C" w:rsidRPr="0067111C" w:rsidRDefault="0067111C" w:rsidP="00766D00">
      <w:pPr>
        <w:spacing w:after="0" w:line="240" w:lineRule="auto"/>
        <w:ind w:left="720" w:hanging="720"/>
        <w:jc w:val="both"/>
        <w:rPr>
          <w:rFonts w:ascii="Calibri" w:hAnsi="Calibri" w:cs="Calibri"/>
          <w:noProof/>
        </w:rPr>
      </w:pPr>
      <w:proofErr w:type="gramStart"/>
      <w:r>
        <w:rPr>
          <w:rFonts w:ascii="Times New Roman" w:hAnsi="Times New Roman" w:cs="Times New Roman"/>
        </w:rPr>
        <w:t>S</w:t>
      </w:r>
      <w:proofErr w:type="gramEnd"/>
      <w:r w:rsidR="00D30F04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 w:rsidR="00D30F04">
        <w:rPr>
          <w:rFonts w:ascii="Times New Roman" w:hAnsi="Times New Roman" w:cs="Times New Roman"/>
        </w:rPr>
        <w:fldChar w:fldCharType="separate"/>
      </w:r>
      <w:bookmarkStart w:id="0" w:name="_ENREF_1"/>
      <w:r w:rsidRPr="0067111C">
        <w:rPr>
          <w:rFonts w:ascii="Calibri" w:hAnsi="Calibri" w:cs="Calibri"/>
          <w:noProof/>
        </w:rPr>
        <w:t>1.</w:t>
      </w:r>
      <w:r w:rsidRPr="0067111C">
        <w:rPr>
          <w:rFonts w:ascii="Calibri" w:hAnsi="Calibri" w:cs="Calibri"/>
          <w:noProof/>
        </w:rPr>
        <w:tab/>
        <w:t xml:space="preserve">Atsumi S, Higashide W, Liao JC: </w:t>
      </w:r>
      <w:r w:rsidRPr="0067111C">
        <w:rPr>
          <w:rFonts w:ascii="Calibri" w:hAnsi="Calibri" w:cs="Calibri"/>
          <w:b/>
          <w:noProof/>
        </w:rPr>
        <w:t xml:space="preserve">Direct photosynthetic recycling of carbon dioxide to </w:t>
      </w:r>
      <w:r>
        <w:rPr>
          <w:rFonts w:ascii="Calibri" w:hAnsi="Calibri" w:cs="Calibri"/>
          <w:b/>
          <w:noProof/>
        </w:rPr>
        <w:t xml:space="preserve">  </w:t>
      </w:r>
      <w:r w:rsidRPr="0067111C">
        <w:rPr>
          <w:rFonts w:ascii="Calibri" w:hAnsi="Calibri" w:cs="Calibri"/>
          <w:b/>
          <w:noProof/>
        </w:rPr>
        <w:t>isobutyraldehyde</w:t>
      </w:r>
      <w:r w:rsidRPr="0067111C">
        <w:rPr>
          <w:rFonts w:ascii="Calibri" w:hAnsi="Calibri" w:cs="Calibri"/>
          <w:noProof/>
        </w:rPr>
        <w:t xml:space="preserve">. </w:t>
      </w:r>
      <w:r w:rsidRPr="0067111C">
        <w:rPr>
          <w:rFonts w:ascii="Calibri" w:hAnsi="Calibri" w:cs="Calibri"/>
          <w:i/>
          <w:noProof/>
        </w:rPr>
        <w:t xml:space="preserve">Nat Biotechnol </w:t>
      </w:r>
      <w:r w:rsidRPr="0067111C">
        <w:rPr>
          <w:rFonts w:ascii="Calibri" w:hAnsi="Calibri" w:cs="Calibri"/>
          <w:noProof/>
        </w:rPr>
        <w:t xml:space="preserve">2009, </w:t>
      </w:r>
      <w:r w:rsidRPr="0067111C">
        <w:rPr>
          <w:rFonts w:ascii="Calibri" w:hAnsi="Calibri" w:cs="Calibri"/>
          <w:b/>
          <w:noProof/>
        </w:rPr>
        <w:t>27</w:t>
      </w:r>
      <w:r w:rsidRPr="0067111C">
        <w:rPr>
          <w:rFonts w:ascii="Calibri" w:hAnsi="Calibri" w:cs="Calibri"/>
          <w:noProof/>
        </w:rPr>
        <w:t>(12):1177-1180.</w:t>
      </w:r>
      <w:bookmarkEnd w:id="0"/>
    </w:p>
    <w:p w:rsidR="0067111C" w:rsidRDefault="0067111C" w:rsidP="00766D00">
      <w:pPr>
        <w:spacing w:after="0" w:line="240" w:lineRule="auto"/>
        <w:ind w:left="720" w:hanging="720"/>
        <w:jc w:val="both"/>
        <w:rPr>
          <w:rFonts w:ascii="Calibri" w:hAnsi="Calibri" w:cs="Calibri"/>
          <w:noProof/>
        </w:rPr>
      </w:pPr>
      <w:bookmarkStart w:id="1" w:name="_ENREF_2"/>
      <w:r>
        <w:rPr>
          <w:rFonts w:ascii="Calibri" w:hAnsi="Calibri" w:cs="Calibri"/>
          <w:noProof/>
        </w:rPr>
        <w:t>S</w:t>
      </w:r>
      <w:r w:rsidRPr="0067111C">
        <w:rPr>
          <w:rFonts w:ascii="Calibri" w:hAnsi="Calibri" w:cs="Calibri"/>
          <w:noProof/>
        </w:rPr>
        <w:t>2.</w:t>
      </w:r>
      <w:r w:rsidRPr="0067111C">
        <w:rPr>
          <w:rFonts w:ascii="Calibri" w:hAnsi="Calibri" w:cs="Calibri"/>
          <w:noProof/>
        </w:rPr>
        <w:tab/>
        <w:t xml:space="preserve">Lamed RJ, Zeikus JG: </w:t>
      </w:r>
      <w:r w:rsidRPr="0067111C">
        <w:rPr>
          <w:rFonts w:ascii="Calibri" w:hAnsi="Calibri" w:cs="Calibri"/>
          <w:b/>
          <w:noProof/>
        </w:rPr>
        <w:t>Novel NADP-linked alcohol--aldehyde/ketone oxidoreductase in thermophilic ethanologenic bacteria</w:t>
      </w:r>
      <w:r w:rsidRPr="0067111C">
        <w:rPr>
          <w:rFonts w:ascii="Calibri" w:hAnsi="Calibri" w:cs="Calibri"/>
          <w:noProof/>
        </w:rPr>
        <w:t xml:space="preserve">. </w:t>
      </w:r>
      <w:r w:rsidRPr="0067111C">
        <w:rPr>
          <w:rFonts w:ascii="Calibri" w:hAnsi="Calibri" w:cs="Calibri"/>
          <w:i/>
          <w:noProof/>
        </w:rPr>
        <w:t xml:space="preserve">Biochem J </w:t>
      </w:r>
      <w:r w:rsidRPr="0067111C">
        <w:rPr>
          <w:rFonts w:ascii="Calibri" w:hAnsi="Calibri" w:cs="Calibri"/>
          <w:noProof/>
        </w:rPr>
        <w:t xml:space="preserve">1981, </w:t>
      </w:r>
      <w:r w:rsidRPr="0067111C">
        <w:rPr>
          <w:rFonts w:ascii="Calibri" w:hAnsi="Calibri" w:cs="Calibri"/>
          <w:b/>
          <w:noProof/>
        </w:rPr>
        <w:t>195</w:t>
      </w:r>
      <w:r w:rsidRPr="0067111C">
        <w:rPr>
          <w:rFonts w:ascii="Calibri" w:hAnsi="Calibri" w:cs="Calibri"/>
          <w:noProof/>
        </w:rPr>
        <w:t>(1):183-190.</w:t>
      </w:r>
      <w:bookmarkStart w:id="2" w:name="_ENREF_3"/>
      <w:bookmarkEnd w:id="1"/>
    </w:p>
    <w:p w:rsidR="0067111C" w:rsidRPr="0067111C" w:rsidRDefault="0067111C" w:rsidP="00766D00">
      <w:pPr>
        <w:spacing w:after="0" w:line="240" w:lineRule="auto"/>
        <w:ind w:left="720" w:hanging="720"/>
        <w:jc w:val="both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S</w:t>
      </w:r>
      <w:r w:rsidRPr="0067111C">
        <w:rPr>
          <w:rFonts w:ascii="Calibri" w:hAnsi="Calibri" w:cs="Calibri"/>
          <w:noProof/>
        </w:rPr>
        <w:t>3.</w:t>
      </w:r>
      <w:r w:rsidRPr="0067111C">
        <w:rPr>
          <w:rFonts w:ascii="Calibri" w:hAnsi="Calibri" w:cs="Calibri"/>
          <w:noProof/>
        </w:rPr>
        <w:tab/>
        <w:t xml:space="preserve">Ismaiel AA, Zhu CX, Colby GD, Chen JS: </w:t>
      </w:r>
      <w:r w:rsidRPr="0067111C">
        <w:rPr>
          <w:rFonts w:ascii="Calibri" w:hAnsi="Calibri" w:cs="Calibri"/>
          <w:b/>
          <w:noProof/>
        </w:rPr>
        <w:t>Purification and characterization of a primary-secondary alcohol dehydrogenase from two strains of Clostridium beijerinckii</w:t>
      </w:r>
      <w:r w:rsidRPr="0067111C">
        <w:rPr>
          <w:rFonts w:ascii="Calibri" w:hAnsi="Calibri" w:cs="Calibri"/>
          <w:noProof/>
        </w:rPr>
        <w:t xml:space="preserve">. </w:t>
      </w:r>
      <w:r w:rsidRPr="0067111C">
        <w:rPr>
          <w:rFonts w:ascii="Calibri" w:hAnsi="Calibri" w:cs="Calibri"/>
          <w:i/>
          <w:noProof/>
        </w:rPr>
        <w:t xml:space="preserve">J Bacteriol </w:t>
      </w:r>
      <w:r w:rsidRPr="0067111C">
        <w:rPr>
          <w:rFonts w:ascii="Calibri" w:hAnsi="Calibri" w:cs="Calibri"/>
          <w:noProof/>
        </w:rPr>
        <w:t xml:space="preserve">1993, </w:t>
      </w:r>
      <w:r w:rsidRPr="0067111C">
        <w:rPr>
          <w:rFonts w:ascii="Calibri" w:hAnsi="Calibri" w:cs="Calibri"/>
          <w:b/>
          <w:noProof/>
        </w:rPr>
        <w:t>175</w:t>
      </w:r>
      <w:r w:rsidRPr="0067111C">
        <w:rPr>
          <w:rFonts w:ascii="Calibri" w:hAnsi="Calibri" w:cs="Calibri"/>
          <w:noProof/>
        </w:rPr>
        <w:t>(16):5097-5105.</w:t>
      </w:r>
      <w:bookmarkEnd w:id="2"/>
    </w:p>
    <w:p w:rsidR="0067111C" w:rsidRDefault="0067111C" w:rsidP="00766D00">
      <w:pPr>
        <w:spacing w:line="240" w:lineRule="auto"/>
        <w:jc w:val="both"/>
        <w:rPr>
          <w:rFonts w:ascii="Times New Roman" w:hAnsi="Times New Roman" w:cs="Times New Roman"/>
          <w:noProof/>
        </w:rPr>
      </w:pPr>
    </w:p>
    <w:p w:rsidR="0067111C" w:rsidRPr="0067111C" w:rsidRDefault="00D30F04" w:rsidP="00766D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67111C" w:rsidRPr="0067111C" w:rsidSect="00C16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docVars>
    <w:docVar w:name="EN.Layout" w:val="&lt;ENLayout&gt;&lt;Style&gt;Microbial Cell Factori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z9ewp2wgs295wear0avf9zz9rd05ppr0awt&quot;&gt;12PD&lt;record-ids&gt;&lt;item&gt;15&lt;/item&gt;&lt;item&gt;52&lt;/item&gt;&lt;item&gt;53&lt;/item&gt;&lt;/record-ids&gt;&lt;/item&gt;&lt;/Libraries&gt;"/>
  </w:docVars>
  <w:rsids>
    <w:rsidRoot w:val="009D64F0"/>
    <w:rsid w:val="00001124"/>
    <w:rsid w:val="0037362A"/>
    <w:rsid w:val="004017BC"/>
    <w:rsid w:val="0052591D"/>
    <w:rsid w:val="00595EE6"/>
    <w:rsid w:val="0067111C"/>
    <w:rsid w:val="007245B7"/>
    <w:rsid w:val="00766D00"/>
    <w:rsid w:val="009D64F0"/>
    <w:rsid w:val="00B117E9"/>
    <w:rsid w:val="00C16646"/>
    <w:rsid w:val="00C4417C"/>
    <w:rsid w:val="00C80B21"/>
    <w:rsid w:val="00C83AFA"/>
    <w:rsid w:val="00D30F04"/>
    <w:rsid w:val="00D76BDA"/>
    <w:rsid w:val="00E2189D"/>
    <w:rsid w:val="00E93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1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1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11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files\UCLA\lab\projects\1,2%20propadiol\manuscript\1_revision\new%20data%20and%20figures\methylglyoxal%20NADPH,%20induction,%20mgsA,%20and%20kinetics%20parameter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files\UCLA\lab\projects\1,2%20propadiol\manuscript\1_revision\new%20data%20and%20figures\methylglyoxal%20NADPH,%20induction,%20mgsA,%20and%20kinetics%20paramete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22647753009262023"/>
          <c:y val="8.5255742436985721E-2"/>
          <c:w val="0.7272388737150256"/>
          <c:h val="0.68836203065414414"/>
        </c:manualLayout>
      </c:layout>
      <c:barChart>
        <c:barDir val="col"/>
        <c:grouping val="clustered"/>
        <c:ser>
          <c:idx val="0"/>
          <c:order val="0"/>
          <c:errBars>
            <c:errBarType val="both"/>
            <c:errValType val="cust"/>
            <c:plus>
              <c:numRef>
                <c:f>Sheet1!$N$20:$N$23</c:f>
                <c:numCache>
                  <c:formatCode>General</c:formatCode>
                  <c:ptCount val="4"/>
                  <c:pt idx="0">
                    <c:v>0.45</c:v>
                  </c:pt>
                  <c:pt idx="1">
                    <c:v>1</c:v>
                  </c:pt>
                  <c:pt idx="2">
                    <c:v>1.5</c:v>
                  </c:pt>
                  <c:pt idx="3">
                    <c:v>6</c:v>
                  </c:pt>
                </c:numCache>
              </c:numRef>
            </c:plus>
            <c:minus>
              <c:numRef>
                <c:f>Sheet1!$N$20:$N$23</c:f>
                <c:numCache>
                  <c:formatCode>General</c:formatCode>
                  <c:ptCount val="4"/>
                  <c:pt idx="0">
                    <c:v>0.45</c:v>
                  </c:pt>
                  <c:pt idx="1">
                    <c:v>1</c:v>
                  </c:pt>
                  <c:pt idx="2">
                    <c:v>1.5</c:v>
                  </c:pt>
                  <c:pt idx="3">
                    <c:v>6</c:v>
                  </c:pt>
                </c:numCache>
              </c:numRef>
            </c:minus>
          </c:errBars>
          <c:cat>
            <c:strRef>
              <c:f>Sheet1!$C$20:$C$23</c:f>
              <c:strCache>
                <c:ptCount val="4"/>
                <c:pt idx="0">
                  <c:v>WT</c:v>
                </c:pt>
                <c:pt idx="1">
                  <c:v>LH21</c:v>
                </c:pt>
                <c:pt idx="2">
                  <c:v>LH22</c:v>
                </c:pt>
                <c:pt idx="3">
                  <c:v>LH23</c:v>
                </c:pt>
              </c:strCache>
            </c:strRef>
          </c:cat>
          <c:val>
            <c:numRef>
              <c:f>Sheet1!$M$20:$M$23</c:f>
              <c:numCache>
                <c:formatCode>General</c:formatCode>
                <c:ptCount val="4"/>
                <c:pt idx="0">
                  <c:v>2.7578852535875491</c:v>
                </c:pt>
                <c:pt idx="1">
                  <c:v>15.952974654891166</c:v>
                </c:pt>
                <c:pt idx="2">
                  <c:v>30.235373987779841</c:v>
                </c:pt>
                <c:pt idx="3">
                  <c:v>28.196873093028653</c:v>
                </c:pt>
              </c:numCache>
            </c:numRef>
          </c:val>
        </c:ser>
        <c:axId val="59714944"/>
        <c:axId val="70375680"/>
      </c:barChart>
      <c:catAx>
        <c:axId val="59714944"/>
        <c:scaling>
          <c:orientation val="minMax"/>
        </c:scaling>
        <c:axPos val="b"/>
        <c:tickLblPos val="nextTo"/>
        <c:spPr>
          <a:ln w="12700">
            <a:solidFill>
              <a:sysClr val="windowText" lastClr="000000"/>
            </a:solidFill>
          </a:ln>
        </c:spPr>
        <c:crossAx val="70375680"/>
        <c:crosses val="autoZero"/>
        <c:auto val="1"/>
        <c:lblAlgn val="ctr"/>
        <c:lblOffset val="100"/>
      </c:catAx>
      <c:valAx>
        <c:axId val="7037568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Activity (nmol/min/mg)</a:t>
                </a:r>
              </a:p>
            </c:rich>
          </c:tx>
        </c:title>
        <c:numFmt formatCode="General" sourceLinked="1"/>
        <c:tickLblPos val="nextTo"/>
        <c:spPr>
          <a:ln w="12700">
            <a:solidFill>
              <a:sysClr val="windowText" lastClr="000000"/>
            </a:solidFill>
          </a:ln>
        </c:spPr>
        <c:crossAx val="59714944"/>
        <c:crosses val="autoZero"/>
        <c:crossBetween val="between"/>
      </c:valAx>
      <c:spPr>
        <a:noFill/>
        <a:ln w="12700">
          <a:solidFill>
            <a:schemeClr val="tx1"/>
          </a:solidFill>
        </a:ln>
      </c:spPr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21400895032005893"/>
          <c:y val="5.1400554097404488E-2"/>
          <c:w val="0.73323325591495259"/>
          <c:h val="0.78193551592590049"/>
        </c:manualLayout>
      </c:layout>
      <c:barChart>
        <c:barDir val="col"/>
        <c:grouping val="clustered"/>
        <c:ser>
          <c:idx val="0"/>
          <c:order val="0"/>
          <c:errBars>
            <c:errBarType val="both"/>
            <c:errValType val="cust"/>
            <c:plus>
              <c:numRef>
                <c:f>Sheet1!$N$73:$N$74</c:f>
                <c:numCache>
                  <c:formatCode>General</c:formatCode>
                  <c:ptCount val="2"/>
                  <c:pt idx="0">
                    <c:v>9</c:v>
                  </c:pt>
                  <c:pt idx="1">
                    <c:v>1</c:v>
                  </c:pt>
                </c:numCache>
              </c:numRef>
            </c:plus>
            <c:minus>
              <c:numRef>
                <c:f>Sheet1!$N$73:$N$74</c:f>
                <c:numCache>
                  <c:formatCode>General</c:formatCode>
                  <c:ptCount val="2"/>
                  <c:pt idx="0">
                    <c:v>9</c:v>
                  </c:pt>
                  <c:pt idx="1">
                    <c:v>1</c:v>
                  </c:pt>
                </c:numCache>
              </c:numRef>
            </c:minus>
          </c:errBars>
          <c:cat>
            <c:strRef>
              <c:f>Sheet1!$A$73:$A$74</c:f>
              <c:strCache>
                <c:ptCount val="2"/>
                <c:pt idx="0">
                  <c:v>IPTG</c:v>
                </c:pt>
                <c:pt idx="1">
                  <c:v>no IPTG</c:v>
                </c:pt>
              </c:strCache>
            </c:strRef>
          </c:cat>
          <c:val>
            <c:numRef>
              <c:f>Sheet1!$M$73:$M$74</c:f>
              <c:numCache>
                <c:formatCode>General</c:formatCode>
                <c:ptCount val="2"/>
                <c:pt idx="0">
                  <c:v>75.588434969449651</c:v>
                </c:pt>
                <c:pt idx="1">
                  <c:v>5.3900687982392421</c:v>
                </c:pt>
              </c:numCache>
            </c:numRef>
          </c:val>
        </c:ser>
        <c:axId val="90123648"/>
        <c:axId val="90171648"/>
      </c:barChart>
      <c:catAx>
        <c:axId val="90123648"/>
        <c:scaling>
          <c:orientation val="minMax"/>
        </c:scaling>
        <c:axPos val="b"/>
        <c:tickLblPos val="nextTo"/>
        <c:spPr>
          <a:ln w="12700">
            <a:solidFill>
              <a:sysClr val="windowText" lastClr="000000"/>
            </a:solidFill>
          </a:ln>
        </c:spPr>
        <c:crossAx val="90171648"/>
        <c:crosses val="autoZero"/>
        <c:auto val="1"/>
        <c:lblAlgn val="ctr"/>
        <c:lblOffset val="100"/>
      </c:catAx>
      <c:valAx>
        <c:axId val="9017164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Activity</a:t>
                </a:r>
                <a:r>
                  <a:rPr lang="en-US" baseline="0"/>
                  <a:t> (nmol/min/mg)</a:t>
                </a:r>
                <a:endParaRPr lang="en-US"/>
              </a:p>
            </c:rich>
          </c:tx>
        </c:title>
        <c:numFmt formatCode="General" sourceLinked="1"/>
        <c:tickLblPos val="nextTo"/>
        <c:spPr>
          <a:ln w="12700">
            <a:solidFill>
              <a:sysClr val="windowText" lastClr="000000"/>
            </a:solidFill>
          </a:ln>
        </c:spPr>
        <c:crossAx val="90123648"/>
        <c:crosses val="autoZero"/>
        <c:crossBetween val="between"/>
      </c:valAx>
      <c:spPr>
        <a:ln w="12700">
          <a:solidFill>
            <a:sysClr val="windowText" lastClr="000000"/>
          </a:solidFill>
        </a:ln>
      </c:spPr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Han</cp:lastModifiedBy>
  <cp:revision>15</cp:revision>
  <dcterms:created xsi:type="dcterms:W3CDTF">2012-12-21T05:17:00Z</dcterms:created>
  <dcterms:modified xsi:type="dcterms:W3CDTF">2012-12-21T10:45:00Z</dcterms:modified>
</cp:coreProperties>
</file>