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21E" w:rsidRDefault="0014521E" w:rsidP="00F048AB">
      <w:pPr>
        <w:ind w:hanging="90"/>
        <w:rPr>
          <w:b/>
        </w:rPr>
      </w:pPr>
      <w:r>
        <w:rPr>
          <w:b/>
        </w:rPr>
        <w:t xml:space="preserve">Table 4. Associations between variables of interest and moderate-severe anaemia </w:t>
      </w:r>
    </w:p>
    <w:tbl>
      <w:tblPr>
        <w:tblStyle w:val="TableauNorm"/>
        <w:tblW w:w="0" w:type="auto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4788"/>
        <w:gridCol w:w="1935"/>
        <w:gridCol w:w="1935"/>
        <w:gridCol w:w="1710"/>
        <w:gridCol w:w="1048"/>
        <w:gridCol w:w="1652"/>
        <w:gridCol w:w="1106"/>
      </w:tblGrid>
      <w:tr w:rsidR="0014521E" w:rsidRPr="00F8511B">
        <w:tc>
          <w:tcPr>
            <w:tcW w:w="4788" w:type="dxa"/>
            <w:vMerge w:val="restart"/>
            <w:tcBorders>
              <w:top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Variables of interest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Prevalence of anaemia*</w:t>
            </w:r>
            <w:r w:rsidRPr="00F8511B">
              <w:rPr>
                <w:rFonts w:eastAsia="Calibri"/>
                <w:b/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Univariate analysis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Multivariate analysis</w:t>
            </w:r>
          </w:p>
        </w:tc>
      </w:tr>
      <w:tr w:rsidR="0014521E" w:rsidRPr="00F8511B">
        <w:trPr>
          <w:trHeight w:val="233"/>
        </w:trPr>
        <w:tc>
          <w:tcPr>
            <w:tcW w:w="4788" w:type="dxa"/>
            <w:vMerge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sz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present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not present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</w:tr>
      <w:tr w:rsidR="0014521E" w:rsidRPr="00F8511B">
        <w:tc>
          <w:tcPr>
            <w:tcW w:w="4788" w:type="dxa"/>
            <w:tcBorders>
              <w:top w:val="single" w:sz="4" w:space="0" w:color="auto"/>
              <w:bottom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HIV exposed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16/199 (8.0%)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55/399 (13.8%)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0.55 (0.30-0.98)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0.04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14521E" w:rsidRPr="00F8511B">
        <w:tc>
          <w:tcPr>
            <w:tcW w:w="4788" w:type="dxa"/>
            <w:tcBorders>
              <w:top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Enrolled Dec 2010 – Mar 2011</w:t>
            </w:r>
          </w:p>
        </w:tc>
        <w:tc>
          <w:tcPr>
            <w:tcW w:w="1935" w:type="dxa"/>
            <w:tcBorders>
              <w:top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34/229 (14.9%)</w:t>
            </w:r>
          </w:p>
        </w:tc>
        <w:tc>
          <w:tcPr>
            <w:tcW w:w="1935" w:type="dxa"/>
            <w:tcBorders>
              <w:top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37/369 (10.0%)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1.56 (0.95-2.57)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0.08</w:t>
            </w:r>
          </w:p>
        </w:tc>
        <w:tc>
          <w:tcPr>
            <w:tcW w:w="2758" w:type="dxa"/>
            <w:gridSpan w:val="2"/>
            <w:tcBorders>
              <w:top w:val="nil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Infant’s age (per</w:t>
            </w:r>
            <w:r>
              <w:rPr>
                <w:rFonts w:eastAsia="Calibri"/>
                <w:sz w:val="22"/>
              </w:rPr>
              <w:t xml:space="preserve"> one</w:t>
            </w:r>
            <w:r w:rsidRPr="00F8511B">
              <w:rPr>
                <w:rFonts w:eastAsia="Calibri"/>
                <w:sz w:val="22"/>
              </w:rPr>
              <w:t xml:space="preserve"> month increase)</w:t>
            </w:r>
          </w:p>
        </w:tc>
        <w:tc>
          <w:tcPr>
            <w:tcW w:w="3870" w:type="dxa"/>
            <w:gridSpan w:val="2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N/A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2.11 (1.35-3.31)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0.001</w:t>
            </w:r>
          </w:p>
        </w:tc>
        <w:tc>
          <w:tcPr>
            <w:tcW w:w="1652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2.05 (1.27-3.32)</w:t>
            </w:r>
          </w:p>
        </w:tc>
        <w:tc>
          <w:tcPr>
            <w:tcW w:w="1106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0.003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Infant female gender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26/294 (8.8%)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45/304 (14.8%)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0.56 (0.33-0.93)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0.03</w:t>
            </w:r>
          </w:p>
        </w:tc>
        <w:tc>
          <w:tcPr>
            <w:tcW w:w="1652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0.61 (0.35-1.06)</w:t>
            </w:r>
          </w:p>
        </w:tc>
        <w:tc>
          <w:tcPr>
            <w:tcW w:w="1106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0.08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Mother’s ag</w:t>
            </w:r>
            <w:r>
              <w:rPr>
                <w:rFonts w:eastAsia="Calibri"/>
                <w:sz w:val="22"/>
              </w:rPr>
              <w:t>e (per five</w:t>
            </w:r>
            <w:r w:rsidRPr="00F8511B">
              <w:rPr>
                <w:rFonts w:eastAsia="Calibri"/>
                <w:sz w:val="22"/>
              </w:rPr>
              <w:t xml:space="preserve"> year increase)</w:t>
            </w:r>
          </w:p>
        </w:tc>
        <w:tc>
          <w:tcPr>
            <w:tcW w:w="3870" w:type="dxa"/>
            <w:gridSpan w:val="2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N/A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0.83 (0.69-1.02)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0.08</w:t>
            </w:r>
          </w:p>
        </w:tc>
        <w:tc>
          <w:tcPr>
            <w:tcW w:w="2758" w:type="dxa"/>
            <w:gridSpan w:val="2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Infant r</w:t>
            </w:r>
            <w:r>
              <w:rPr>
                <w:rFonts w:eastAsia="Calibri"/>
                <w:sz w:val="22"/>
              </w:rPr>
              <w:t>eported sleeping under an ITN</w:t>
            </w:r>
            <w:r w:rsidRPr="00F8511B">
              <w:rPr>
                <w:rFonts w:eastAsia="Calibri"/>
                <w:sz w:val="22"/>
              </w:rPr>
              <w:t xml:space="preserve"> last night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18/206 (8.7%)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53/392 (13.5%)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0.61 (0.35-1.08)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0.09</w:t>
            </w:r>
          </w:p>
        </w:tc>
        <w:tc>
          <w:tcPr>
            <w:tcW w:w="2758" w:type="dxa"/>
            <w:gridSpan w:val="2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Exclusive breastfeeding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11/144 (7.6%)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60/454 (13.2%)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0.54 (0.28-1.06)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0.08</w:t>
            </w:r>
          </w:p>
        </w:tc>
        <w:tc>
          <w:tcPr>
            <w:tcW w:w="2758" w:type="dxa"/>
            <w:gridSpan w:val="2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Not included in final model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Highest tertile for household wealth index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16/197 (8.1%)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55/401 (13.7%)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0.56 (0.31-1.00)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0.05</w:t>
            </w:r>
          </w:p>
        </w:tc>
        <w:tc>
          <w:tcPr>
            <w:tcW w:w="1652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0.59 (0.32-1.11)</w:t>
            </w:r>
          </w:p>
        </w:tc>
        <w:tc>
          <w:tcPr>
            <w:tcW w:w="1106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0.10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Well-constructed house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1/69 (1.5%)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70/529 (13.2%)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0.10 (0.01-0.70)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0.02</w:t>
            </w:r>
          </w:p>
        </w:tc>
        <w:tc>
          <w:tcPr>
            <w:tcW w:w="1652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0.18 (0.02-1.33)</w:t>
            </w:r>
          </w:p>
        </w:tc>
        <w:tc>
          <w:tcPr>
            <w:tcW w:w="1106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0.09</w:t>
            </w:r>
          </w:p>
        </w:tc>
      </w:tr>
      <w:tr w:rsidR="0014521E" w:rsidRPr="00F8511B">
        <w:tc>
          <w:tcPr>
            <w:tcW w:w="4788" w:type="dxa"/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Parasitaemia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39/122 (32.0%)</w:t>
            </w:r>
          </w:p>
        </w:tc>
        <w:tc>
          <w:tcPr>
            <w:tcW w:w="1935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32/476 (6.7%)</w:t>
            </w:r>
          </w:p>
        </w:tc>
        <w:tc>
          <w:tcPr>
            <w:tcW w:w="1710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6.52 (3.86-11.0)</w:t>
            </w:r>
          </w:p>
        </w:tc>
        <w:tc>
          <w:tcPr>
            <w:tcW w:w="1048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&lt;0.001</w:t>
            </w:r>
          </w:p>
        </w:tc>
        <w:tc>
          <w:tcPr>
            <w:tcW w:w="1652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5.74 (3.34-9.87)</w:t>
            </w:r>
          </w:p>
        </w:tc>
        <w:tc>
          <w:tcPr>
            <w:tcW w:w="1106" w:type="dxa"/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&lt;0.001</w:t>
            </w:r>
          </w:p>
        </w:tc>
      </w:tr>
      <w:tr w:rsidR="0014521E" w:rsidRPr="00F8511B"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Wasted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5/18 (27.8%)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66/580 (11.4%)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3.00 (1.03-8.67)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0.04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2.85 (0.85-9.54)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14521E" w:rsidRPr="00C150F7" w:rsidRDefault="0014521E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0.09</w:t>
            </w:r>
          </w:p>
        </w:tc>
      </w:tr>
    </w:tbl>
    <w:p w:rsidR="0014521E" w:rsidRDefault="0014521E" w:rsidP="00F048AB">
      <w:r>
        <w:t>* Anaemia defined as hemoglobin &lt; 8 gm/dL (results missing for two study participants)</w:t>
      </w:r>
    </w:p>
    <w:p w:rsidR="0014521E" w:rsidRPr="00407484" w:rsidRDefault="0014521E" w:rsidP="00F048AB">
      <w:r>
        <w:t>ITN = Insecticide-</w:t>
      </w:r>
      <w:bookmarkStart w:id="0" w:name="_GoBack"/>
      <w:bookmarkEnd w:id="0"/>
      <w:r>
        <w:t>treated net</w:t>
      </w:r>
    </w:p>
    <w:p w:rsidR="0014521E" w:rsidRPr="002A16D0" w:rsidRDefault="0014521E" w:rsidP="00F048AB">
      <w:pPr>
        <w:rPr>
          <w:b/>
        </w:rPr>
      </w:pPr>
    </w:p>
    <w:p w:rsidR="0014521E" w:rsidRDefault="0014521E" w:rsidP="00F048AB"/>
    <w:p w:rsidR="0014521E" w:rsidRDefault="0014521E" w:rsidP="00F048AB">
      <w:pPr>
        <w:spacing w:line="480" w:lineRule="auto"/>
      </w:pPr>
    </w:p>
    <w:p w:rsidR="0014521E" w:rsidRPr="00F048AB" w:rsidRDefault="0014521E" w:rsidP="00F048AB"/>
    <w:sectPr w:rsidR="0014521E" w:rsidRPr="00F048AB" w:rsidSect="00C95D81">
      <w:endnotePr>
        <w:numFmt w:val="decimal"/>
      </w:endnotePr>
      <w:pgSz w:w="16838" w:h="11899" w:orient="landscape"/>
      <w:pgMar w:top="1440" w:right="1440" w:bottom="1440" w:left="1440" w:gutter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oNotHyphenateCaps/>
  <w:characterSpacingControl w:val="doNotCompress"/>
  <w:savePreviewPicture/>
  <w:doNotValidateAgainstSchema/>
  <w:doNotDemarcateInvalidXml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BAD"/>
    <w:rsid w:val="0014521E"/>
    <w:rsid w:val="002A16D0"/>
    <w:rsid w:val="002B3AB0"/>
    <w:rsid w:val="00407484"/>
    <w:rsid w:val="00787CF6"/>
    <w:rsid w:val="00871E9B"/>
    <w:rsid w:val="0089669E"/>
    <w:rsid w:val="00C14DAE"/>
    <w:rsid w:val="00C150F7"/>
    <w:rsid w:val="00C93B20"/>
    <w:rsid w:val="00C95D81"/>
    <w:rsid w:val="00D15BAD"/>
    <w:rsid w:val="00E1345D"/>
    <w:rsid w:val="00E160EC"/>
    <w:rsid w:val="00F048AB"/>
    <w:rsid w:val="00F40EC0"/>
    <w:rsid w:val="00F62C4D"/>
    <w:rsid w:val="00F8511B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BAD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F04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F048AB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</dc:title>
  <dc:subject/>
  <dc:creator>Osterbauer, Beth</dc:creator>
  <cp:keywords/>
  <cp:lastModifiedBy>IP IP</cp:lastModifiedBy>
  <cp:revision>2</cp:revision>
  <dcterms:created xsi:type="dcterms:W3CDTF">2012-12-13T15:18:00Z</dcterms:created>
  <dcterms:modified xsi:type="dcterms:W3CDTF">2012-12-13T15:18:00Z</dcterms:modified>
</cp:coreProperties>
</file>