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EC1" w:rsidRDefault="004B7EC1" w:rsidP="00F22E66">
      <w:pPr>
        <w:pStyle w:val="BodyText3"/>
        <w:spacing w:after="0" w:line="480" w:lineRule="auto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Additional file </w:t>
      </w:r>
      <w:r w:rsidR="00F22E66" w:rsidRPr="00A46AF2">
        <w:rPr>
          <w:b/>
          <w:sz w:val="24"/>
          <w:szCs w:val="22"/>
        </w:rPr>
        <w:t>3 Variation</w:t>
      </w:r>
      <w:r w:rsidRPr="00A46AF2">
        <w:rPr>
          <w:b/>
          <w:sz w:val="24"/>
          <w:szCs w:val="22"/>
        </w:rPr>
        <w:t xml:space="preserve"> in </w:t>
      </w:r>
      <w:r w:rsidRPr="0063690D">
        <w:rPr>
          <w:b/>
          <w:sz w:val="24"/>
          <w:szCs w:val="22"/>
        </w:rPr>
        <w:t>modelled seroconversion rate estimates (</w:t>
      </w:r>
      <w:r w:rsidRPr="0063690D">
        <w:rPr>
          <w:b/>
          <w:sz w:val="24"/>
          <w:szCs w:val="22"/>
        </w:rPr>
        <w:sym w:font="Symbol" w:char="F06C"/>
      </w:r>
      <w:r w:rsidRPr="0063690D">
        <w:rPr>
          <w:b/>
          <w:sz w:val="24"/>
          <w:szCs w:val="22"/>
        </w:rPr>
        <w:t>) by study area, village and season</w:t>
      </w:r>
    </w:p>
    <w:tbl>
      <w:tblPr>
        <w:tblW w:w="8613" w:type="dxa"/>
        <w:tblLayout w:type="fixed"/>
        <w:tblLook w:val="04A0"/>
      </w:tblPr>
      <w:tblGrid>
        <w:gridCol w:w="2518"/>
        <w:gridCol w:w="1788"/>
        <w:gridCol w:w="2153"/>
        <w:gridCol w:w="2154"/>
      </w:tblGrid>
      <w:tr w:rsidR="004B7EC1" w:rsidRPr="00DE7454" w:rsidTr="004416AC">
        <w:tc>
          <w:tcPr>
            <w:tcW w:w="2518" w:type="dxa"/>
            <w:vMerge w:val="restart"/>
            <w:tcBorders>
              <w:top w:val="single" w:sz="4" w:space="0" w:color="auto"/>
            </w:tcBorders>
            <w:vAlign w:val="center"/>
          </w:tcPr>
          <w:p w:rsidR="00AA79C9" w:rsidRDefault="00FC01B3" w:rsidP="00F22E66">
            <w:pPr>
              <w:spacing w:line="480" w:lineRule="auto"/>
              <w:rPr>
                <w:rFonts w:ascii="Times New Roman" w:hAnsi="Times New Roman"/>
                <w:b/>
                <w:szCs w:val="20"/>
                <w:lang w:eastAsia="en-GB"/>
              </w:rPr>
            </w:pPr>
            <w:r>
              <w:rPr>
                <w:rFonts w:ascii="Times New Roman" w:hAnsi="Times New Roman"/>
                <w:b/>
                <w:szCs w:val="20"/>
                <w:lang w:eastAsia="en-GB"/>
              </w:rPr>
              <w:t xml:space="preserve"> </w:t>
            </w:r>
            <w:r w:rsidR="004B7EC1" w:rsidRPr="0063690D">
              <w:rPr>
                <w:rFonts w:ascii="Times New Roman" w:hAnsi="Times New Roman"/>
                <w:b/>
                <w:szCs w:val="20"/>
                <w:lang w:eastAsia="en-GB"/>
              </w:rPr>
              <w:t>Settings</w:t>
            </w:r>
          </w:p>
          <w:p w:rsidR="004B7EC1" w:rsidRPr="00AA79C9" w:rsidRDefault="00AA79C9" w:rsidP="00F22E66">
            <w:pPr>
              <w:spacing w:line="480" w:lineRule="auto"/>
              <w:rPr>
                <w:rFonts w:ascii="Times New Roman" w:hAnsi="Times New Roman"/>
                <w:b/>
                <w:szCs w:val="20"/>
                <w:lang w:eastAsia="en-GB"/>
              </w:rPr>
            </w:pPr>
            <w:r>
              <w:rPr>
                <w:rFonts w:ascii="Times New Roman" w:hAnsi="Times New Roman"/>
                <w:szCs w:val="20"/>
                <w:lang w:eastAsia="en-GB"/>
              </w:rPr>
              <w:t>B</w:t>
            </w:r>
            <w:r w:rsidR="004B7EC1" w:rsidRPr="00AA79C9">
              <w:rPr>
                <w:rFonts w:ascii="Times New Roman" w:hAnsi="Times New Roman"/>
                <w:szCs w:val="20"/>
                <w:lang w:eastAsia="en-GB"/>
              </w:rPr>
              <w:t xml:space="preserve">ank of River </w:t>
            </w:r>
            <w:r>
              <w:rPr>
                <w:rFonts w:ascii="Times New Roman" w:hAnsi="Times New Roman"/>
                <w:szCs w:val="20"/>
                <w:lang w:eastAsia="en-GB"/>
              </w:rPr>
              <w:t>G</w:t>
            </w:r>
            <w:r w:rsidR="004B7EC1" w:rsidRPr="00AA79C9">
              <w:rPr>
                <w:rFonts w:ascii="Times New Roman" w:hAnsi="Times New Roman"/>
                <w:szCs w:val="20"/>
                <w:lang w:eastAsia="en-GB"/>
              </w:rPr>
              <w:t>ambia</w:t>
            </w:r>
          </w:p>
        </w:tc>
        <w:tc>
          <w:tcPr>
            <w:tcW w:w="1788" w:type="dxa"/>
            <w:vMerge w:val="restart"/>
            <w:tcBorders>
              <w:top w:val="single" w:sz="4" w:space="0" w:color="auto"/>
            </w:tcBorders>
            <w:vAlign w:val="center"/>
          </w:tcPr>
          <w:p w:rsidR="00AA79C9" w:rsidRDefault="00AA79C9" w:rsidP="00F22E66">
            <w:pPr>
              <w:spacing w:line="480" w:lineRule="auto"/>
              <w:rPr>
                <w:rFonts w:ascii="Times New Roman" w:hAnsi="Times New Roman"/>
                <w:szCs w:val="20"/>
              </w:rPr>
            </w:pPr>
          </w:p>
          <w:p w:rsidR="004B7EC1" w:rsidRPr="00AA79C9" w:rsidRDefault="004B7EC1" w:rsidP="00F22E66">
            <w:pPr>
              <w:spacing w:line="480" w:lineRule="auto"/>
              <w:rPr>
                <w:rFonts w:ascii="Times New Roman" w:hAnsi="Times New Roman"/>
                <w:szCs w:val="20"/>
              </w:rPr>
            </w:pPr>
            <w:r w:rsidRPr="00AA79C9">
              <w:rPr>
                <w:rFonts w:ascii="Times New Roman" w:hAnsi="Times New Roman"/>
                <w:szCs w:val="20"/>
              </w:rPr>
              <w:t>Study villages</w:t>
            </w:r>
          </w:p>
        </w:tc>
        <w:tc>
          <w:tcPr>
            <w:tcW w:w="4307" w:type="dxa"/>
            <w:gridSpan w:val="2"/>
            <w:tcBorders>
              <w:top w:val="single" w:sz="4" w:space="0" w:color="auto"/>
            </w:tcBorders>
            <w:vAlign w:val="center"/>
          </w:tcPr>
          <w:p w:rsidR="004B7EC1" w:rsidRPr="00DE7454" w:rsidRDefault="004B7EC1" w:rsidP="00F22E66">
            <w:pPr>
              <w:spacing w:line="480" w:lineRule="auto"/>
              <w:rPr>
                <w:rFonts w:ascii="Times New Roman" w:hAnsi="Times New Roman"/>
                <w:b/>
                <w:szCs w:val="20"/>
              </w:rPr>
            </w:pPr>
            <w:r w:rsidRPr="0063690D">
              <w:rPr>
                <w:rFonts w:ascii="Times New Roman" w:hAnsi="Times New Roman"/>
                <w:b/>
                <w:szCs w:val="20"/>
              </w:rPr>
              <w:t>Seroconversion rates (95% CI)</w:t>
            </w:r>
          </w:p>
        </w:tc>
      </w:tr>
      <w:tr w:rsidR="004B7EC1" w:rsidRPr="00DE7454" w:rsidTr="004416AC">
        <w:trPr>
          <w:trHeight w:val="326"/>
        </w:trPr>
        <w:tc>
          <w:tcPr>
            <w:tcW w:w="2518" w:type="dxa"/>
            <w:vMerge/>
            <w:tcBorders>
              <w:bottom w:val="single" w:sz="4" w:space="0" w:color="auto"/>
            </w:tcBorders>
            <w:vAlign w:val="center"/>
          </w:tcPr>
          <w:p w:rsidR="004B7EC1" w:rsidRPr="00FF4D69" w:rsidRDefault="004B7EC1" w:rsidP="00F22E66">
            <w:pPr>
              <w:spacing w:line="480" w:lineRule="auto"/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Merge/>
            <w:tcBorders>
              <w:bottom w:val="single" w:sz="4" w:space="0" w:color="auto"/>
            </w:tcBorders>
            <w:vAlign w:val="center"/>
          </w:tcPr>
          <w:p w:rsidR="004B7EC1" w:rsidRPr="00FF4D69" w:rsidRDefault="004B7EC1" w:rsidP="00F22E66">
            <w:pPr>
              <w:spacing w:line="480" w:lineRule="auto"/>
              <w:rPr>
                <w:rFonts w:ascii="Times New Roman" w:hAnsi="Times New Roman"/>
                <w:b/>
                <w:szCs w:val="20"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  <w:vAlign w:val="center"/>
          </w:tcPr>
          <w:p w:rsidR="004B7EC1" w:rsidRPr="00FF4D69" w:rsidRDefault="004B7EC1" w:rsidP="00F22E66">
            <w:pPr>
              <w:spacing w:line="480" w:lineRule="auto"/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</w:rPr>
              <w:t>Wet season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vAlign w:val="center"/>
          </w:tcPr>
          <w:p w:rsidR="004B7EC1" w:rsidRPr="00FF4D69" w:rsidRDefault="004B7EC1" w:rsidP="00F22E66">
            <w:pPr>
              <w:spacing w:line="480" w:lineRule="auto"/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</w:rPr>
              <w:t>Dry season</w:t>
            </w:r>
          </w:p>
        </w:tc>
      </w:tr>
      <w:tr w:rsidR="004B7EC1" w:rsidRPr="00DE7454" w:rsidTr="004416AC">
        <w:trPr>
          <w:trHeight w:val="293"/>
        </w:trPr>
        <w:tc>
          <w:tcPr>
            <w:tcW w:w="2518" w:type="dxa"/>
            <w:vMerge w:val="restart"/>
            <w:tcBorders>
              <w:top w:val="single" w:sz="4" w:space="0" w:color="auto"/>
            </w:tcBorders>
            <w:vAlign w:val="center"/>
          </w:tcPr>
          <w:p w:rsidR="004B7EC1" w:rsidRPr="00DE7454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b/>
                <w:szCs w:val="20"/>
                <w:lang w:eastAsia="en-GB"/>
              </w:rPr>
              <w:t xml:space="preserve">Coastal   </w:t>
            </w:r>
          </w:p>
          <w:p w:rsidR="004B7EC1" w:rsidRPr="00DE7454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b/>
                <w:szCs w:val="20"/>
                <w:lang w:eastAsia="en-GB"/>
              </w:rPr>
              <w:t>(North bank)</w:t>
            </w:r>
          </w:p>
        </w:tc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Albreda</w:t>
            </w:r>
          </w:p>
        </w:tc>
        <w:tc>
          <w:tcPr>
            <w:tcW w:w="2153" w:type="dxa"/>
            <w:tcBorders>
              <w:top w:val="single" w:sz="4" w:space="0" w:color="auto"/>
            </w:tcBorders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</w:rPr>
              <w:t>0.010 (0.007,0.013)</w:t>
            </w:r>
          </w:p>
        </w:tc>
        <w:tc>
          <w:tcPr>
            <w:tcW w:w="2154" w:type="dxa"/>
            <w:tcBorders>
              <w:top w:val="single" w:sz="4" w:space="0" w:color="auto"/>
            </w:tcBorders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eastAsia="Calibri" w:hAnsi="Times New Roman"/>
                <w:szCs w:val="20"/>
              </w:rPr>
              <w:t>0.008 (0.005,0.011)</w:t>
            </w:r>
          </w:p>
        </w:tc>
      </w:tr>
      <w:tr w:rsidR="004B7EC1" w:rsidRPr="00DE7454" w:rsidTr="004416AC">
        <w:trPr>
          <w:trHeight w:val="294"/>
        </w:trPr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Mbantang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0.013 (0.005,0.031)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eastAsia="Calibri" w:hAnsi="Times New Roman"/>
                <w:szCs w:val="20"/>
                <w:lang w:eastAsia="en-GB"/>
              </w:rPr>
              <w:t>0.010 (0.005,0.015)</w:t>
            </w:r>
          </w:p>
        </w:tc>
      </w:tr>
      <w:tr w:rsidR="004B7EC1" w:rsidRPr="00DE7454" w:rsidTr="004416AC">
        <w:trPr>
          <w:trHeight w:val="294"/>
        </w:trPr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Sammeh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0.018 (0.009,0.034)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eastAsia="Calibri" w:hAnsi="Times New Roman"/>
                <w:szCs w:val="20"/>
                <w:lang w:eastAsia="en-GB"/>
              </w:rPr>
              <w:t>0.011 (0.006,0.020)</w:t>
            </w:r>
          </w:p>
        </w:tc>
      </w:tr>
      <w:tr w:rsidR="004B7EC1" w:rsidRPr="00DE7454" w:rsidTr="004416AC">
        <w:trPr>
          <w:trHeight w:val="294"/>
        </w:trPr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  <w:lang w:eastAsia="en-GB"/>
              </w:rPr>
            </w:pPr>
          </w:p>
        </w:tc>
      </w:tr>
      <w:tr w:rsidR="004B7EC1" w:rsidRPr="00DE7454" w:rsidTr="004416AC">
        <w:tc>
          <w:tcPr>
            <w:tcW w:w="2518" w:type="dxa"/>
            <w:vMerge w:val="restart"/>
            <w:vAlign w:val="center"/>
          </w:tcPr>
          <w:p w:rsidR="004B7EC1" w:rsidRPr="00DE7454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b/>
                <w:szCs w:val="20"/>
                <w:lang w:eastAsia="en-GB"/>
              </w:rPr>
              <w:t>Coastal</w:t>
            </w:r>
          </w:p>
          <w:p w:rsidR="004B7EC1" w:rsidRPr="00DE7454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b/>
                <w:szCs w:val="20"/>
                <w:lang w:eastAsia="en-GB"/>
              </w:rPr>
              <w:t xml:space="preserve"> (South bank)</w:t>
            </w: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Gunjur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0.007 (0.003,0.012)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</w:rPr>
            </w:pPr>
            <w:r w:rsidRPr="0063690D">
              <w:rPr>
                <w:rFonts w:ascii="Times New Roman" w:eastAsia="Calibri" w:hAnsi="Times New Roman"/>
                <w:szCs w:val="20"/>
              </w:rPr>
              <w:t>0.005 (0.002,0.008)</w:t>
            </w:r>
          </w:p>
        </w:tc>
      </w:tr>
      <w:tr w:rsidR="004B7EC1" w:rsidRPr="00DE7454" w:rsidTr="004416AC"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Medina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0.017 (0.004,0.064)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  <w:lang w:eastAsia="en-GB"/>
              </w:rPr>
            </w:pPr>
            <w:r w:rsidRPr="0063690D">
              <w:rPr>
                <w:rFonts w:ascii="Times New Roman" w:eastAsia="Calibri" w:hAnsi="Times New Roman"/>
                <w:szCs w:val="20"/>
                <w:lang w:eastAsia="en-GB"/>
              </w:rPr>
              <w:t>0.006 (0.001,0.025)</w:t>
            </w:r>
          </w:p>
        </w:tc>
      </w:tr>
      <w:tr w:rsidR="004B7EC1" w:rsidRPr="00DE7454" w:rsidTr="004416AC"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Sambuya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0.076 (0.031,0.185)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  <w:lang w:eastAsia="en-GB"/>
              </w:rPr>
            </w:pPr>
            <w:r w:rsidRPr="0063690D">
              <w:rPr>
                <w:rFonts w:ascii="Times New Roman" w:eastAsia="Calibri" w:hAnsi="Times New Roman"/>
                <w:szCs w:val="20"/>
                <w:lang w:eastAsia="en-GB"/>
              </w:rPr>
              <w:t>0.023 (0.006,0.079)</w:t>
            </w:r>
          </w:p>
        </w:tc>
      </w:tr>
      <w:tr w:rsidR="004B7EC1" w:rsidRPr="00DE7454" w:rsidTr="004416AC"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  <w:lang w:eastAsia="en-GB"/>
              </w:rPr>
            </w:pPr>
          </w:p>
        </w:tc>
      </w:tr>
      <w:tr w:rsidR="004B7EC1" w:rsidRPr="00DE7454" w:rsidTr="004416AC">
        <w:tc>
          <w:tcPr>
            <w:tcW w:w="2518" w:type="dxa"/>
            <w:vMerge w:val="restart"/>
            <w:vAlign w:val="center"/>
          </w:tcPr>
          <w:p w:rsidR="004B7EC1" w:rsidRPr="00DE7454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b/>
                <w:szCs w:val="20"/>
                <w:lang w:eastAsia="en-GB"/>
              </w:rPr>
              <w:t xml:space="preserve">Mid country </w:t>
            </w:r>
          </w:p>
          <w:p w:rsidR="004B7EC1" w:rsidRPr="00DE7454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b/>
                <w:szCs w:val="20"/>
                <w:lang w:eastAsia="en-GB"/>
              </w:rPr>
              <w:t>(North bank)</w:t>
            </w: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Kaur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0.023 (0.014,0.037)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  <w:lang w:eastAsia="en-GB"/>
              </w:rPr>
            </w:pPr>
            <w:r w:rsidRPr="0063690D">
              <w:rPr>
                <w:rFonts w:ascii="Times New Roman" w:eastAsia="Calibri" w:hAnsi="Times New Roman"/>
                <w:szCs w:val="20"/>
                <w:lang w:eastAsia="en-GB"/>
              </w:rPr>
              <w:t>0.017 (0.011,0.026)</w:t>
            </w:r>
          </w:p>
        </w:tc>
      </w:tr>
      <w:tr w:rsidR="004B7EC1" w:rsidRPr="00DE7454" w:rsidTr="004416AC"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Kerr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0.026 (0.014,0.043)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  <w:lang w:eastAsia="en-GB"/>
              </w:rPr>
            </w:pPr>
            <w:r w:rsidRPr="0063690D">
              <w:rPr>
                <w:rFonts w:ascii="Times New Roman" w:eastAsia="Calibri" w:hAnsi="Times New Roman"/>
                <w:szCs w:val="20"/>
                <w:lang w:eastAsia="en-GB"/>
              </w:rPr>
              <w:t>0.02 1(0.011,0.036)</w:t>
            </w:r>
          </w:p>
        </w:tc>
      </w:tr>
      <w:tr w:rsidR="004B7EC1" w:rsidRPr="00DE7454" w:rsidTr="004416AC"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Jimbala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</w:rPr>
              <w:t>0.019 (0.009,0.036)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</w:rPr>
            </w:pPr>
            <w:r w:rsidRPr="0063690D">
              <w:rPr>
                <w:rFonts w:ascii="Times New Roman" w:eastAsia="Calibri" w:hAnsi="Times New Roman"/>
                <w:szCs w:val="20"/>
              </w:rPr>
              <w:t>0.015 (0.010,0.022)</w:t>
            </w:r>
          </w:p>
        </w:tc>
      </w:tr>
      <w:tr w:rsidR="004B7EC1" w:rsidRPr="00DE7454" w:rsidTr="004416AC"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</w:rPr>
            </w:pPr>
          </w:p>
        </w:tc>
      </w:tr>
      <w:tr w:rsidR="004B7EC1" w:rsidRPr="00DE7454" w:rsidTr="004416AC">
        <w:tc>
          <w:tcPr>
            <w:tcW w:w="2518" w:type="dxa"/>
            <w:vMerge w:val="restart"/>
            <w:vAlign w:val="center"/>
          </w:tcPr>
          <w:p w:rsidR="004B7EC1" w:rsidRPr="00DE7454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b/>
                <w:szCs w:val="20"/>
                <w:lang w:eastAsia="en-GB"/>
              </w:rPr>
              <w:t>Mid country</w:t>
            </w:r>
          </w:p>
          <w:p w:rsidR="004B7EC1" w:rsidRPr="00DE7454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b/>
                <w:szCs w:val="20"/>
                <w:lang w:eastAsia="en-GB"/>
              </w:rPr>
              <w:t>(South bank)</w:t>
            </w: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Bureng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0.037 (0.022,0.059)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  <w:lang w:eastAsia="en-GB"/>
              </w:rPr>
            </w:pPr>
            <w:r w:rsidRPr="0063690D">
              <w:rPr>
                <w:rFonts w:ascii="Times New Roman" w:eastAsia="Calibri" w:hAnsi="Times New Roman"/>
                <w:szCs w:val="20"/>
                <w:lang w:eastAsia="en-GB"/>
              </w:rPr>
              <w:t>0.020 (0.011,0.034)</w:t>
            </w:r>
          </w:p>
        </w:tc>
      </w:tr>
      <w:tr w:rsidR="004B7EC1" w:rsidRPr="00DE7454" w:rsidTr="004416AC"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Dongoroba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0.044 (0.024,0.080)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  <w:lang w:eastAsia="en-GB"/>
              </w:rPr>
            </w:pPr>
            <w:r w:rsidRPr="0063690D">
              <w:rPr>
                <w:rFonts w:ascii="Times New Roman" w:eastAsia="Calibri" w:hAnsi="Times New Roman"/>
                <w:szCs w:val="20"/>
                <w:lang w:eastAsia="en-GB"/>
              </w:rPr>
              <w:t>0.042 (0.026,0.068)</w:t>
            </w:r>
          </w:p>
        </w:tc>
      </w:tr>
      <w:tr w:rsidR="004B7EC1" w:rsidRPr="00DE7454" w:rsidTr="004416AC"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Barokunda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</w:rPr>
              <w:t>0.044 (0.018,</w:t>
            </w:r>
            <w:r w:rsidR="00DA5FD9">
              <w:rPr>
                <w:rFonts w:ascii="Times New Roman" w:hAnsi="Times New Roman"/>
                <w:szCs w:val="20"/>
              </w:rPr>
              <w:t>0.</w:t>
            </w:r>
            <w:r w:rsidRPr="0063690D">
              <w:rPr>
                <w:rFonts w:ascii="Times New Roman" w:hAnsi="Times New Roman"/>
                <w:szCs w:val="20"/>
              </w:rPr>
              <w:t>10</w:t>
            </w:r>
            <w:r w:rsidR="00DA5FD9">
              <w:rPr>
                <w:rFonts w:ascii="Times New Roman" w:hAnsi="Times New Roman"/>
                <w:szCs w:val="20"/>
              </w:rPr>
              <w:t>0</w:t>
            </w:r>
            <w:r w:rsidRPr="0063690D">
              <w:rPr>
                <w:rFonts w:ascii="Times New Roman" w:hAnsi="Times New Roman"/>
                <w:szCs w:val="20"/>
              </w:rPr>
              <w:t>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</w:rPr>
            </w:pPr>
            <w:r w:rsidRPr="0063690D">
              <w:rPr>
                <w:rFonts w:ascii="Times New Roman" w:eastAsia="Calibri" w:hAnsi="Times New Roman"/>
                <w:szCs w:val="20"/>
              </w:rPr>
              <w:t>0.020 (0.009,0.041)</w:t>
            </w:r>
          </w:p>
        </w:tc>
      </w:tr>
      <w:tr w:rsidR="004B7EC1" w:rsidRPr="00DE7454" w:rsidTr="004416AC"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Sutukung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</w:rPr>
              <w:t>0.069 (0.029,0.164)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</w:rPr>
            </w:pPr>
            <w:r w:rsidRPr="0063690D">
              <w:rPr>
                <w:rFonts w:ascii="Times New Roman" w:eastAsia="Calibri" w:hAnsi="Times New Roman"/>
                <w:szCs w:val="20"/>
              </w:rPr>
              <w:t>0.013 (0.006,0.026)</w:t>
            </w:r>
          </w:p>
        </w:tc>
      </w:tr>
      <w:tr w:rsidR="004B7EC1" w:rsidRPr="00DE7454" w:rsidTr="004416AC">
        <w:trPr>
          <w:trHeight w:val="390"/>
        </w:trPr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</w:rPr>
            </w:pPr>
          </w:p>
        </w:tc>
      </w:tr>
      <w:tr w:rsidR="004B7EC1" w:rsidRPr="00DE7454" w:rsidTr="004416AC">
        <w:tc>
          <w:tcPr>
            <w:tcW w:w="2518" w:type="dxa"/>
            <w:vMerge w:val="restart"/>
            <w:vAlign w:val="center"/>
          </w:tcPr>
          <w:p w:rsidR="004B7EC1" w:rsidRPr="00DE7454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b/>
                <w:szCs w:val="20"/>
                <w:lang w:eastAsia="en-GB"/>
              </w:rPr>
              <w:t>East country</w:t>
            </w:r>
          </w:p>
          <w:p w:rsidR="004B7EC1" w:rsidRPr="00DE7454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b/>
                <w:szCs w:val="20"/>
                <w:lang w:eastAsia="en-GB"/>
              </w:rPr>
              <w:t>(Northb ank)</w:t>
            </w: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Yorobawol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</w:rPr>
              <w:t>0.028 (0.015,0.048)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</w:rPr>
            </w:pPr>
            <w:r w:rsidRPr="0063690D">
              <w:rPr>
                <w:rFonts w:ascii="Times New Roman" w:eastAsia="Calibri" w:hAnsi="Times New Roman"/>
                <w:szCs w:val="20"/>
              </w:rPr>
              <w:t>0.027 (0.012, 0.059)</w:t>
            </w:r>
          </w:p>
        </w:tc>
      </w:tr>
      <w:tr w:rsidR="004B7EC1" w:rsidRPr="00DE7454" w:rsidTr="004416AC"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Fadiakunda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</w:rPr>
              <w:t>0.030 (0.017,0.052)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</w:rPr>
            </w:pPr>
            <w:r w:rsidRPr="0063690D">
              <w:rPr>
                <w:rFonts w:ascii="Times New Roman" w:eastAsia="Calibri" w:hAnsi="Times New Roman"/>
                <w:szCs w:val="20"/>
              </w:rPr>
              <w:t>0.025 (0.013,0.044)</w:t>
            </w:r>
          </w:p>
        </w:tc>
      </w:tr>
      <w:tr w:rsidR="004B7EC1" w:rsidRPr="00DE7454" w:rsidTr="004416AC"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Tuba-bureh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0.054 (0.030,0.095)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  <w:lang w:eastAsia="en-GB"/>
              </w:rPr>
            </w:pPr>
            <w:r w:rsidRPr="0063690D">
              <w:rPr>
                <w:rFonts w:ascii="Times New Roman" w:eastAsia="Calibri" w:hAnsi="Times New Roman"/>
                <w:szCs w:val="20"/>
                <w:lang w:eastAsia="en-GB"/>
              </w:rPr>
              <w:t>0.046 (0.032,0.065)</w:t>
            </w:r>
          </w:p>
        </w:tc>
      </w:tr>
      <w:tr w:rsidR="004B7EC1" w:rsidRPr="00DE7454" w:rsidTr="004416AC"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Kolibantang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0.033 (0.017,0.062)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  <w:lang w:eastAsia="en-GB"/>
              </w:rPr>
            </w:pPr>
            <w:r w:rsidRPr="0063690D">
              <w:rPr>
                <w:rFonts w:ascii="Times New Roman" w:eastAsia="Calibri" w:hAnsi="Times New Roman"/>
                <w:szCs w:val="20"/>
                <w:lang w:eastAsia="en-GB"/>
              </w:rPr>
              <w:t>0.019 (0.010,0.034)</w:t>
            </w:r>
          </w:p>
        </w:tc>
      </w:tr>
      <w:tr w:rsidR="004B7EC1" w:rsidRPr="00DE7454" w:rsidTr="004416AC">
        <w:tc>
          <w:tcPr>
            <w:tcW w:w="2518" w:type="dxa"/>
            <w:vMerge/>
            <w:vAlign w:val="center"/>
          </w:tcPr>
          <w:p w:rsidR="004B7EC1" w:rsidRPr="00FF4D69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  <w:lang w:eastAsia="en-GB"/>
              </w:rPr>
            </w:pPr>
          </w:p>
        </w:tc>
      </w:tr>
      <w:tr w:rsidR="004B7EC1" w:rsidRPr="00DE7454" w:rsidTr="004416AC">
        <w:tc>
          <w:tcPr>
            <w:tcW w:w="2518" w:type="dxa"/>
            <w:vMerge w:val="restart"/>
            <w:vAlign w:val="center"/>
          </w:tcPr>
          <w:p w:rsidR="004B7EC1" w:rsidRPr="00DE7454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b/>
                <w:szCs w:val="20"/>
                <w:lang w:eastAsia="en-GB"/>
              </w:rPr>
              <w:t>East country</w:t>
            </w:r>
          </w:p>
          <w:p w:rsidR="004B7EC1" w:rsidRPr="00DE7454" w:rsidRDefault="004B7EC1" w:rsidP="00AA79C9">
            <w:pPr>
              <w:rPr>
                <w:rFonts w:ascii="Times New Roman" w:hAnsi="Times New Roman"/>
                <w:b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b/>
                <w:szCs w:val="20"/>
                <w:lang w:eastAsia="en-GB"/>
              </w:rPr>
              <w:t>(South bank)</w:t>
            </w: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Gambisara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0.024 (0.011,0.049)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</w:rPr>
            </w:pPr>
            <w:r w:rsidRPr="0063690D">
              <w:rPr>
                <w:rFonts w:ascii="Times New Roman" w:eastAsia="Calibri" w:hAnsi="Times New Roman"/>
                <w:szCs w:val="20"/>
              </w:rPr>
              <w:t>0.022 (0.012,0.039)</w:t>
            </w:r>
          </w:p>
        </w:tc>
      </w:tr>
      <w:tr w:rsidR="004B7EC1" w:rsidRPr="00DE7454" w:rsidTr="004416AC">
        <w:tc>
          <w:tcPr>
            <w:tcW w:w="2518" w:type="dxa"/>
            <w:vMerge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Sareboche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0.064 (0.035,0.114)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  <w:lang w:eastAsia="en-GB"/>
              </w:rPr>
            </w:pPr>
            <w:r w:rsidRPr="0063690D">
              <w:rPr>
                <w:rFonts w:ascii="Times New Roman" w:eastAsia="Calibri" w:hAnsi="Times New Roman"/>
                <w:szCs w:val="20"/>
                <w:lang w:eastAsia="en-GB"/>
              </w:rPr>
              <w:t>0.052 (0.032,0.084)</w:t>
            </w:r>
          </w:p>
        </w:tc>
      </w:tr>
      <w:tr w:rsidR="004B7EC1" w:rsidRPr="00DE7454" w:rsidTr="004416AC">
        <w:tc>
          <w:tcPr>
            <w:tcW w:w="2518" w:type="dxa"/>
            <w:vMerge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Sarejatta</w:t>
            </w: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  <w:r w:rsidRPr="0063690D">
              <w:rPr>
                <w:rFonts w:ascii="Times New Roman" w:hAnsi="Times New Roman"/>
                <w:szCs w:val="20"/>
                <w:lang w:eastAsia="en-GB"/>
              </w:rPr>
              <w:t>0.025 (0.011,0.053)</w:t>
            </w: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  <w:lang w:eastAsia="en-GB"/>
              </w:rPr>
            </w:pPr>
            <w:r w:rsidRPr="0063690D">
              <w:rPr>
                <w:rFonts w:ascii="Times New Roman" w:eastAsia="Calibri" w:hAnsi="Times New Roman"/>
                <w:szCs w:val="20"/>
                <w:lang w:eastAsia="en-GB"/>
              </w:rPr>
              <w:t>0.022 (0.009,0.050)</w:t>
            </w:r>
          </w:p>
        </w:tc>
      </w:tr>
      <w:tr w:rsidR="004B7EC1" w:rsidRPr="00DE7454" w:rsidTr="004416AC">
        <w:tc>
          <w:tcPr>
            <w:tcW w:w="2518" w:type="dxa"/>
            <w:vMerge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</w:p>
        </w:tc>
        <w:tc>
          <w:tcPr>
            <w:tcW w:w="1788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</w:p>
        </w:tc>
        <w:tc>
          <w:tcPr>
            <w:tcW w:w="2153" w:type="dxa"/>
            <w:vAlign w:val="center"/>
          </w:tcPr>
          <w:p w:rsidR="004B7EC1" w:rsidRDefault="004B7EC1" w:rsidP="00AA79C9">
            <w:pPr>
              <w:rPr>
                <w:rFonts w:ascii="Times New Roman" w:hAnsi="Times New Roman"/>
                <w:szCs w:val="20"/>
                <w:lang w:eastAsia="en-GB"/>
              </w:rPr>
            </w:pPr>
          </w:p>
        </w:tc>
        <w:tc>
          <w:tcPr>
            <w:tcW w:w="2154" w:type="dxa"/>
            <w:vAlign w:val="center"/>
          </w:tcPr>
          <w:p w:rsidR="004B7EC1" w:rsidRDefault="004B7EC1" w:rsidP="00AA79C9">
            <w:pPr>
              <w:rPr>
                <w:rFonts w:ascii="Times New Roman" w:eastAsia="Calibri" w:hAnsi="Times New Roman"/>
                <w:szCs w:val="20"/>
                <w:lang w:eastAsia="en-GB"/>
              </w:rPr>
            </w:pPr>
          </w:p>
        </w:tc>
      </w:tr>
    </w:tbl>
    <w:p w:rsidR="004B7EC1" w:rsidRPr="00DE7454" w:rsidRDefault="004B7EC1" w:rsidP="00AA79C9">
      <w:pPr>
        <w:rPr>
          <w:rFonts w:ascii="Times New Roman" w:hAnsi="Times New Roman"/>
        </w:rPr>
      </w:pPr>
    </w:p>
    <w:p w:rsidR="001C0814" w:rsidRDefault="001C0814" w:rsidP="00AA79C9"/>
    <w:sectPr w:rsidR="001C0814" w:rsidSect="009A46A1">
      <w:footerReference w:type="even" r:id="rId6"/>
      <w:footerReference w:type="default" r:id="rId7"/>
      <w:pgSz w:w="12240" w:h="15840"/>
      <w:pgMar w:top="1418" w:right="1183" w:bottom="1418" w:left="226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37A3" w:rsidRDefault="00E037A3" w:rsidP="000D751D">
      <w:r>
        <w:separator/>
      </w:r>
    </w:p>
  </w:endnote>
  <w:endnote w:type="continuationSeparator" w:id="1">
    <w:p w:rsidR="00E037A3" w:rsidRDefault="00E037A3" w:rsidP="000D7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28" w:rsidRDefault="0079357A" w:rsidP="006A251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A79C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03E28" w:rsidRDefault="00E037A3" w:rsidP="006A251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3E28" w:rsidRDefault="00E037A3" w:rsidP="006E2A3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37A3" w:rsidRDefault="00E037A3" w:rsidP="000D751D">
      <w:r>
        <w:separator/>
      </w:r>
    </w:p>
  </w:footnote>
  <w:footnote w:type="continuationSeparator" w:id="1">
    <w:p w:rsidR="00E037A3" w:rsidRDefault="00E037A3" w:rsidP="000D75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7EC1"/>
    <w:rsid w:val="000D751D"/>
    <w:rsid w:val="001A39CB"/>
    <w:rsid w:val="001C0814"/>
    <w:rsid w:val="004B7EC1"/>
    <w:rsid w:val="00582B8B"/>
    <w:rsid w:val="0063653F"/>
    <w:rsid w:val="006C70B0"/>
    <w:rsid w:val="0079357A"/>
    <w:rsid w:val="0086489F"/>
    <w:rsid w:val="008B6D96"/>
    <w:rsid w:val="00A376AF"/>
    <w:rsid w:val="00AA79C9"/>
    <w:rsid w:val="00B81A65"/>
    <w:rsid w:val="00BA7963"/>
    <w:rsid w:val="00DA5FD9"/>
    <w:rsid w:val="00E037A3"/>
    <w:rsid w:val="00E7342D"/>
    <w:rsid w:val="00F22E66"/>
    <w:rsid w:val="00FC0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EC1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B7EC1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B7EC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odyText3">
    <w:name w:val="Body Text 3"/>
    <w:basedOn w:val="Normal"/>
    <w:link w:val="BodyText3Char"/>
    <w:rsid w:val="004B7EC1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B7EC1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PageNumber">
    <w:name w:val="page number"/>
    <w:basedOn w:val="DefaultParagraphFont"/>
    <w:uiPriority w:val="99"/>
    <w:rsid w:val="004B7EC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aoduro</dc:creator>
  <cp:lastModifiedBy>aoduro</cp:lastModifiedBy>
  <cp:revision>8</cp:revision>
  <dcterms:created xsi:type="dcterms:W3CDTF">2013-06-08T21:29:00Z</dcterms:created>
  <dcterms:modified xsi:type="dcterms:W3CDTF">2013-06-18T18:17:00Z</dcterms:modified>
</cp:coreProperties>
</file>