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CD" w:rsidRDefault="00C52DCD" w:rsidP="00C52D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52DCD" w:rsidRDefault="00C52DCD" w:rsidP="00C52D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29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0" cy="2743200"/>
            <wp:effectExtent l="0" t="0" r="0" b="0"/>
            <wp:docPr id="1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52DCD" w:rsidRDefault="00C52DCD" w:rsidP="00C52DCD">
      <w:pPr>
        <w:spacing w:line="480" w:lineRule="auto"/>
      </w:pPr>
      <w:r w:rsidRPr="007639DF">
        <w:rPr>
          <w:rFonts w:ascii="Times New Roman" w:hAnsi="Times New Roman" w:cs="Times New Roman"/>
          <w:b/>
          <w:sz w:val="24"/>
          <w:szCs w:val="24"/>
        </w:rPr>
        <w:t>Figure 8</w:t>
      </w:r>
      <w:r w:rsidRPr="000F68FA">
        <w:rPr>
          <w:rFonts w:ascii="Times New Roman" w:hAnsi="Times New Roman"/>
          <w:bCs/>
          <w:sz w:val="24"/>
          <w:szCs w:val="24"/>
        </w:rPr>
        <w:t xml:space="preserve"> </w:t>
      </w:r>
      <w:r w:rsidRPr="00C05096">
        <w:rPr>
          <w:rFonts w:ascii="Times New Roman" w:hAnsi="Times New Roman"/>
          <w:bCs/>
          <w:sz w:val="24"/>
          <w:szCs w:val="24"/>
        </w:rPr>
        <w:t xml:space="preserve">Trends in </w:t>
      </w:r>
      <w:r>
        <w:rPr>
          <w:rFonts w:ascii="Times New Roman" w:hAnsi="Times New Roman"/>
          <w:bCs/>
          <w:sz w:val="24"/>
          <w:szCs w:val="24"/>
        </w:rPr>
        <w:t xml:space="preserve">the </w:t>
      </w:r>
      <w:r w:rsidRPr="00C05096">
        <w:rPr>
          <w:rFonts w:ascii="Times New Roman" w:hAnsi="Times New Roman"/>
          <w:bCs/>
          <w:sz w:val="24"/>
          <w:szCs w:val="24"/>
        </w:rPr>
        <w:t>prevalence of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F68FA">
        <w:rPr>
          <w:rFonts w:ascii="Times New Roman" w:hAnsi="Times New Roman"/>
          <w:bCs/>
          <w:i/>
          <w:sz w:val="24"/>
          <w:szCs w:val="24"/>
        </w:rPr>
        <w:t>pf</w:t>
      </w:r>
      <w:r>
        <w:rPr>
          <w:rFonts w:ascii="Times New Roman" w:hAnsi="Times New Roman"/>
          <w:bCs/>
          <w:i/>
          <w:sz w:val="24"/>
          <w:szCs w:val="24"/>
        </w:rPr>
        <w:t>mdr1</w:t>
      </w:r>
      <w:r>
        <w:rPr>
          <w:rFonts w:ascii="Times New Roman" w:hAnsi="Times New Roman"/>
          <w:bCs/>
          <w:sz w:val="24"/>
          <w:szCs w:val="24"/>
        </w:rPr>
        <w:t xml:space="preserve"> codon 1246 a</w:t>
      </w:r>
      <w:r w:rsidRPr="00C05096">
        <w:rPr>
          <w:rFonts w:ascii="Times New Roman" w:hAnsi="Times New Roman"/>
          <w:bCs/>
          <w:sz w:val="24"/>
          <w:szCs w:val="24"/>
        </w:rPr>
        <w:t>lleles prior to and after the change in treatment policy</w:t>
      </w:r>
      <w:r>
        <w:rPr>
          <w:rFonts w:ascii="Times New Roman" w:hAnsi="Times New Roman"/>
          <w:bCs/>
          <w:sz w:val="24"/>
          <w:szCs w:val="24"/>
        </w:rPr>
        <w:t>.</w:t>
      </w:r>
      <w:r w:rsidRPr="006A404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The arrow indicates the period of antimalarial drug policy change.</w:t>
      </w:r>
    </w:p>
    <w:p w:rsidR="00553B3A" w:rsidRDefault="00553B3A"/>
    <w:sectPr w:rsidR="00553B3A" w:rsidSect="00537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52DCD"/>
    <w:rsid w:val="00553B3A"/>
    <w:rsid w:val="00A00C16"/>
    <w:rsid w:val="00C52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Owner\Documents\Noguchi\New%20PCRs\All%20data%20pfmdr1%202003-2010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Ghana!$B$20</c:f>
              <c:strCache>
                <c:ptCount val="1"/>
                <c:pt idx="0">
                  <c:v>D1246</c:v>
                </c:pt>
              </c:strCache>
            </c:strRef>
          </c:tx>
          <c:cat>
            <c:strRef>
              <c:f>Ghana!$C$19:$F$19</c:f>
              <c:strCache>
                <c:ptCount val="4"/>
                <c:pt idx="0">
                  <c:v>2003-04</c:v>
                </c:pt>
                <c:pt idx="1">
                  <c:v>2005-06</c:v>
                </c:pt>
                <c:pt idx="2">
                  <c:v>2007-08</c:v>
                </c:pt>
                <c:pt idx="3">
                  <c:v>2010</c:v>
                </c:pt>
              </c:strCache>
            </c:strRef>
          </c:cat>
          <c:val>
            <c:numRef>
              <c:f>Ghana!$C$20:$F$20</c:f>
              <c:numCache>
                <c:formatCode>General</c:formatCode>
                <c:ptCount val="4"/>
                <c:pt idx="0">
                  <c:v>98.148148148148152</c:v>
                </c:pt>
                <c:pt idx="1">
                  <c:v>90.4</c:v>
                </c:pt>
                <c:pt idx="2">
                  <c:v>94.5</c:v>
                </c:pt>
                <c:pt idx="3">
                  <c:v>89.908256880733944</c:v>
                </c:pt>
              </c:numCache>
            </c:numRef>
          </c:val>
        </c:ser>
        <c:ser>
          <c:idx val="1"/>
          <c:order val="1"/>
          <c:tx>
            <c:strRef>
              <c:f>Ghana!$B$21</c:f>
              <c:strCache>
                <c:ptCount val="1"/>
                <c:pt idx="0">
                  <c:v>Y1246</c:v>
                </c:pt>
              </c:strCache>
            </c:strRef>
          </c:tx>
          <c:cat>
            <c:strRef>
              <c:f>Ghana!$C$19:$F$19</c:f>
              <c:strCache>
                <c:ptCount val="4"/>
                <c:pt idx="0">
                  <c:v>2003-04</c:v>
                </c:pt>
                <c:pt idx="1">
                  <c:v>2005-06</c:v>
                </c:pt>
                <c:pt idx="2">
                  <c:v>2007-08</c:v>
                </c:pt>
                <c:pt idx="3">
                  <c:v>2010</c:v>
                </c:pt>
              </c:strCache>
            </c:strRef>
          </c:cat>
          <c:val>
            <c:numRef>
              <c:f>Ghana!$C$21:$F$21</c:f>
              <c:numCache>
                <c:formatCode>General</c:formatCode>
                <c:ptCount val="4"/>
                <c:pt idx="0">
                  <c:v>7.4074074074074066</c:v>
                </c:pt>
                <c:pt idx="1">
                  <c:v>14.3</c:v>
                </c:pt>
                <c:pt idx="2">
                  <c:v>8.8000000000000007</c:v>
                </c:pt>
                <c:pt idx="3">
                  <c:v>13.761467889908324</c:v>
                </c:pt>
              </c:numCache>
            </c:numRef>
          </c:val>
        </c:ser>
        <c:axId val="86504576"/>
        <c:axId val="86506496"/>
      </c:barChart>
      <c:catAx>
        <c:axId val="865045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Year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86506496"/>
        <c:crosses val="autoZero"/>
        <c:auto val="1"/>
        <c:lblAlgn val="ctr"/>
        <c:lblOffset val="100"/>
      </c:catAx>
      <c:valAx>
        <c:axId val="86506496"/>
        <c:scaling>
          <c:orientation val="minMax"/>
          <c:max val="100"/>
        </c:scaling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Prevalence/%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86504576"/>
        <c:crosses val="autoZero"/>
        <c:crossBetween val="between"/>
        <c:majorUnit val="10"/>
      </c:valAx>
    </c:plotArea>
    <c:legend>
      <c:legendPos val="r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gap"/>
  </c:chart>
  <c:spPr>
    <a:ln>
      <a:noFill/>
    </a:ln>
  </c:spPr>
  <c:externalData r:id="rId1"/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0.37292</cdr:x>
      <cdr:y>0</cdr:y>
    </cdr:from>
    <cdr:to>
      <cdr:x>0.43124</cdr:x>
      <cdr:y>0.11457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704975" y="0"/>
          <a:ext cx="266667" cy="3142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nduah</dc:creator>
  <cp:lastModifiedBy>nduah</cp:lastModifiedBy>
  <cp:revision>1</cp:revision>
  <dcterms:created xsi:type="dcterms:W3CDTF">2013-08-19T15:05:00Z</dcterms:created>
  <dcterms:modified xsi:type="dcterms:W3CDTF">2013-08-19T15:05:00Z</dcterms:modified>
</cp:coreProperties>
</file>