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3ED" w:rsidRDefault="003903ED"/>
    <w:p w:rsidR="00E47CE6" w:rsidRDefault="00943666">
      <w:r w:rsidRPr="00943666">
        <w:rPr>
          <w:noProof/>
          <w:lang w:eastAsia="fr-FR"/>
        </w:rPr>
        <w:drawing>
          <wp:inline distT="0" distB="0" distL="0" distR="0">
            <wp:extent cx="6124575" cy="5200650"/>
            <wp:effectExtent l="0" t="0" r="0" b="0"/>
            <wp:docPr id="2" name="Graphique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306688" w:rsidRPr="00E47CE6" w:rsidRDefault="00E47CE6" w:rsidP="00E47CE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47CE6">
        <w:rPr>
          <w:rFonts w:ascii="Times New Roman" w:hAnsi="Times New Roman" w:cs="Times New Roman"/>
          <w:b/>
          <w:sz w:val="24"/>
          <w:szCs w:val="24"/>
          <w:lang w:val="en-US"/>
        </w:rPr>
        <w:t>Figure 5:</w:t>
      </w:r>
      <w:r w:rsidRPr="00E47CE6">
        <w:rPr>
          <w:rFonts w:ascii="Times New Roman" w:hAnsi="Times New Roman" w:cs="Times New Roman"/>
          <w:sz w:val="24"/>
          <w:szCs w:val="24"/>
          <w:lang w:val="en-US"/>
        </w:rPr>
        <w:t xml:space="preserve">  Kaplan-Meir survival estimates of PCR adjusted ACPR by treatment arm – ITT analysis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(Log Rank test: p= 0.33)</w:t>
      </w:r>
    </w:p>
    <w:sectPr w:rsidR="00306688" w:rsidRPr="00E47CE6" w:rsidSect="003903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06688"/>
    <w:rsid w:val="00045E12"/>
    <w:rsid w:val="00306688"/>
    <w:rsid w:val="003903ED"/>
    <w:rsid w:val="00564AEA"/>
    <w:rsid w:val="00643186"/>
    <w:rsid w:val="00696FE2"/>
    <w:rsid w:val="00943666"/>
    <w:rsid w:val="00AD7915"/>
    <w:rsid w:val="00E447B8"/>
    <w:rsid w:val="00E47CE6"/>
    <w:rsid w:val="00E60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3E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06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066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9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TOSHIBA\Documents\PNLP%20KAPLAN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fr-FR"/>
  <c:chart>
    <c:title>
      <c:tx>
        <c:rich>
          <a:bodyPr/>
          <a:lstStyle/>
          <a:p>
            <a:pPr>
              <a:defRPr/>
            </a:pPr>
            <a:r>
              <a:rPr lang="en-US"/>
              <a:t>PCR</a:t>
            </a:r>
            <a:r>
              <a:rPr lang="en-US" baseline="0"/>
              <a:t> adjusted Kaplan-Meier  urvival curve ITT analysis</a:t>
            </a:r>
            <a:endParaRPr lang="en-US"/>
          </a:p>
        </c:rich>
      </c:tx>
      <c:layout>
        <c:manualLayout>
          <c:xMode val="edge"/>
          <c:yMode val="edge"/>
          <c:x val="0.25459827413659625"/>
          <c:y val="2.3529411764705879E-2"/>
        </c:manualLayout>
      </c:layout>
    </c:title>
    <c:plotArea>
      <c:layout>
        <c:manualLayout>
          <c:layoutTarget val="inner"/>
          <c:xMode val="edge"/>
          <c:yMode val="edge"/>
          <c:x val="0.12589912280701754"/>
          <c:y val="0.10831426392067126"/>
          <c:w val="0.84041276333459869"/>
          <c:h val="0.68492765635416875"/>
        </c:manualLayout>
      </c:layout>
      <c:scatterChart>
        <c:scatterStyle val="lineMarker"/>
        <c:ser>
          <c:idx val="2"/>
          <c:order val="0"/>
          <c:tx>
            <c:v>Artesunate/Amodiaquine</c:v>
          </c:tx>
          <c:spPr>
            <a:ln w="12700">
              <a:solidFill>
                <a:srgbClr val="0000FF"/>
              </a:solidFill>
              <a:prstDash val="solid"/>
            </a:ln>
            <a:effectLst/>
          </c:spPr>
          <c:marker>
            <c:symbol val="none"/>
          </c:marker>
          <c:dPt>
            <c:idx val="8"/>
            <c:marker>
              <c:symbol val="circle"/>
              <c:size val="5"/>
              <c:spPr>
                <a:solidFill>
                  <a:srgbClr val="FFFFFF"/>
                </a:solidFill>
                <a:ln>
                  <a:solidFill>
                    <a:srgbClr val="000000"/>
                  </a:solidFill>
                  <a:prstDash val="solid"/>
                </a:ln>
              </c:spPr>
            </c:marker>
          </c:dPt>
          <c:dPt>
            <c:idx val="10"/>
            <c:marker>
              <c:symbol val="circle"/>
              <c:size val="5"/>
              <c:spPr>
                <a:solidFill>
                  <a:srgbClr val="FFFFFF"/>
                </a:solidFill>
                <a:ln>
                  <a:solidFill>
                    <a:srgbClr val="000000"/>
                  </a:solidFill>
                  <a:prstDash val="solid"/>
                </a:ln>
              </c:spPr>
            </c:marker>
          </c:dPt>
          <c:xVal>
            <c:numRef>
              <c:f>'Analyse de Kaplan-Meier1_HID2'!$A$2:$A$12</c:f>
              <c:numCache>
                <c:formatCode>0.000</c:formatCode>
                <c:ptCount val="11"/>
                <c:pt idx="0">
                  <c:v>0</c:v>
                </c:pt>
                <c:pt idx="1">
                  <c:v>1</c:v>
                </c:pt>
                <c:pt idx="2">
                  <c:v>1</c:v>
                </c:pt>
                <c:pt idx="3">
                  <c:v>2</c:v>
                </c:pt>
                <c:pt idx="4">
                  <c:v>2</c:v>
                </c:pt>
                <c:pt idx="5">
                  <c:v>3</c:v>
                </c:pt>
                <c:pt idx="6">
                  <c:v>3</c:v>
                </c:pt>
                <c:pt idx="7">
                  <c:v>21</c:v>
                </c:pt>
                <c:pt idx="8">
                  <c:v>21</c:v>
                </c:pt>
                <c:pt idx="9">
                  <c:v>42</c:v>
                </c:pt>
                <c:pt idx="10">
                  <c:v>42</c:v>
                </c:pt>
              </c:numCache>
            </c:numRef>
          </c:xVal>
          <c:yVal>
            <c:numRef>
              <c:f>'Analyse de Kaplan-Meier1_HID2'!$D$2:$D$12</c:f>
              <c:numCache>
                <c:formatCode>0.000</c:formatCode>
                <c:ptCount val="11"/>
                <c:pt idx="0">
                  <c:v>1</c:v>
                </c:pt>
                <c:pt idx="1">
                  <c:v>1</c:v>
                </c:pt>
                <c:pt idx="2">
                  <c:v>0.98936170212765917</c:v>
                </c:pt>
                <c:pt idx="3">
                  <c:v>0.98936170212765917</c:v>
                </c:pt>
                <c:pt idx="4">
                  <c:v>0.97872340425531945</c:v>
                </c:pt>
                <c:pt idx="5">
                  <c:v>0.97872340425531945</c:v>
                </c:pt>
                <c:pt idx="6">
                  <c:v>0.96808510638297873</c:v>
                </c:pt>
                <c:pt idx="7">
                  <c:v>0.96808510638297873</c:v>
                </c:pt>
                <c:pt idx="8">
                  <c:v>0.96808510638297873</c:v>
                </c:pt>
                <c:pt idx="9">
                  <c:v>0.96808510638297873</c:v>
                </c:pt>
                <c:pt idx="10">
                  <c:v>0.96273656988362499</c:v>
                </c:pt>
              </c:numCache>
            </c:numRef>
          </c:yVal>
        </c:ser>
        <c:ser>
          <c:idx val="0"/>
          <c:order val="1"/>
          <c:tx>
            <c:v>Arthemether/Lumefantrine</c:v>
          </c:tx>
          <c:spPr>
            <a:ln w="12700">
              <a:solidFill>
                <a:srgbClr val="00B400"/>
              </a:solidFill>
              <a:prstDash val="solid"/>
            </a:ln>
          </c:spPr>
          <c:marker>
            <c:spPr>
              <a:noFill/>
              <a:ln w="9525">
                <a:noFill/>
              </a:ln>
            </c:spPr>
          </c:marker>
          <c:dPt>
            <c:idx val="0"/>
            <c:marker>
              <c:symbol val="none"/>
            </c:marker>
          </c:dPt>
          <c:dPt>
            <c:idx val="1"/>
            <c:marker>
              <c:symbol val="none"/>
            </c:marker>
          </c:dPt>
          <c:dPt>
            <c:idx val="2"/>
            <c:marker>
              <c:symbol val="none"/>
            </c:marker>
          </c:dPt>
          <c:dPt>
            <c:idx val="3"/>
            <c:marker>
              <c:symbol val="none"/>
            </c:marker>
          </c:dPt>
          <c:dPt>
            <c:idx val="4"/>
            <c:marker>
              <c:symbol val="none"/>
            </c:marker>
          </c:dPt>
          <c:dPt>
            <c:idx val="5"/>
            <c:marker>
              <c:symbol val="none"/>
            </c:marker>
          </c:dPt>
          <c:dPt>
            <c:idx val="6"/>
            <c:marker>
              <c:symbol val="circle"/>
              <c:size val="5"/>
              <c:spPr>
                <a:solidFill>
                  <a:srgbClr val="FFFFFF"/>
                </a:solidFill>
                <a:ln>
                  <a:solidFill>
                    <a:srgbClr val="000000"/>
                  </a:solidFill>
                  <a:prstDash val="solid"/>
                </a:ln>
              </c:spPr>
            </c:marker>
          </c:dPt>
          <c:dPt>
            <c:idx val="7"/>
            <c:marker>
              <c:symbol val="none"/>
            </c:marker>
          </c:dPt>
          <c:dPt>
            <c:idx val="8"/>
            <c:marker>
              <c:symbol val="circle"/>
              <c:size val="5"/>
              <c:spPr>
                <a:solidFill>
                  <a:srgbClr val="FFFFFF"/>
                </a:solidFill>
                <a:ln>
                  <a:solidFill>
                    <a:srgbClr val="000000"/>
                  </a:solidFill>
                  <a:prstDash val="solid"/>
                </a:ln>
              </c:spPr>
            </c:marker>
          </c:dPt>
          <c:dPt>
            <c:idx val="9"/>
            <c:marker>
              <c:symbol val="none"/>
            </c:marker>
          </c:dPt>
          <c:dPt>
            <c:idx val="10"/>
            <c:marker>
              <c:symbol val="circle"/>
              <c:size val="5"/>
              <c:spPr>
                <a:solidFill>
                  <a:srgbClr val="FFFFFF"/>
                </a:solidFill>
                <a:ln>
                  <a:solidFill>
                    <a:srgbClr val="000000"/>
                  </a:solidFill>
                  <a:prstDash val="solid"/>
                </a:ln>
              </c:spPr>
            </c:marker>
          </c:dPt>
          <c:xVal>
            <c:numRef>
              <c:f>'Analyse de Kaplan-Meier1_HID2'!$A$46:$A$56</c:f>
              <c:numCache>
                <c:formatCode>0.000</c:formatCode>
                <c:ptCount val="11"/>
                <c:pt idx="0">
                  <c:v>0</c:v>
                </c:pt>
                <c:pt idx="1">
                  <c:v>2</c:v>
                </c:pt>
                <c:pt idx="2">
                  <c:v>2</c:v>
                </c:pt>
                <c:pt idx="3">
                  <c:v>3</c:v>
                </c:pt>
                <c:pt idx="4">
                  <c:v>3</c:v>
                </c:pt>
                <c:pt idx="5">
                  <c:v>21</c:v>
                </c:pt>
                <c:pt idx="6">
                  <c:v>21</c:v>
                </c:pt>
                <c:pt idx="7">
                  <c:v>28</c:v>
                </c:pt>
                <c:pt idx="8">
                  <c:v>28</c:v>
                </c:pt>
                <c:pt idx="9">
                  <c:v>42</c:v>
                </c:pt>
                <c:pt idx="10">
                  <c:v>42</c:v>
                </c:pt>
              </c:numCache>
            </c:numRef>
          </c:xVal>
          <c:yVal>
            <c:numRef>
              <c:f>'Analyse de Kaplan-Meier1_HID2'!$D$46:$D$56</c:f>
              <c:numCache>
                <c:formatCode>0.000</c:formatCode>
                <c:ptCount val="11"/>
                <c:pt idx="0">
                  <c:v>1</c:v>
                </c:pt>
                <c:pt idx="1">
                  <c:v>1</c:v>
                </c:pt>
                <c:pt idx="2">
                  <c:v>0.99487179487179489</c:v>
                </c:pt>
                <c:pt idx="3">
                  <c:v>0.99487179487179489</c:v>
                </c:pt>
                <c:pt idx="4">
                  <c:v>0.98974358974358978</c:v>
                </c:pt>
                <c:pt idx="5">
                  <c:v>0.98974358974358978</c:v>
                </c:pt>
                <c:pt idx="6">
                  <c:v>0.98974358974358978</c:v>
                </c:pt>
                <c:pt idx="7">
                  <c:v>0.98974358974358978</c:v>
                </c:pt>
                <c:pt idx="8">
                  <c:v>0.98456168613236628</c:v>
                </c:pt>
                <c:pt idx="9">
                  <c:v>0.98456168613236628</c:v>
                </c:pt>
                <c:pt idx="10">
                  <c:v>0.97935236504171885</c:v>
                </c:pt>
              </c:numCache>
            </c:numRef>
          </c:yVal>
        </c:ser>
        <c:axId val="90081536"/>
        <c:axId val="90124672"/>
      </c:scatterChart>
      <c:valAx>
        <c:axId val="90081536"/>
        <c:scaling>
          <c:orientation val="minMax"/>
          <c:max val="45"/>
          <c:min val="0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fr-FR"/>
                  <a:t>Follow</a:t>
                </a:r>
                <a:r>
                  <a:rPr lang="fr-FR" baseline="0"/>
                  <a:t> up days</a:t>
                </a:r>
                <a:endParaRPr lang="fr-FR"/>
              </a:p>
            </c:rich>
          </c:tx>
          <c:layout>
            <c:manualLayout>
              <c:xMode val="edge"/>
              <c:yMode val="edge"/>
              <c:x val="0.45128437483417222"/>
              <c:y val="0.84236278157537992"/>
            </c:manualLayout>
          </c:layout>
        </c:title>
        <c:numFmt formatCode="General" sourceLinked="0"/>
        <c:majorTickMark val="none"/>
        <c:tickLblPos val="nextTo"/>
        <c:crossAx val="90124672"/>
        <c:crosses val="autoZero"/>
        <c:crossBetween val="midCat"/>
      </c:valAx>
      <c:valAx>
        <c:axId val="90124672"/>
        <c:scaling>
          <c:orientation val="minMax"/>
          <c:max val="1"/>
          <c:min val="0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fr-FR"/>
                  <a:t>Survival estimates</a:t>
                </a:r>
              </a:p>
            </c:rich>
          </c:tx>
          <c:layout/>
        </c:title>
        <c:numFmt formatCode="General" sourceLinked="0"/>
        <c:majorTickMark val="none"/>
        <c:tickLblPos val="nextTo"/>
        <c:txPr>
          <a:bodyPr rot="-5400000" vert="horz"/>
          <a:lstStyle/>
          <a:p>
            <a:pPr>
              <a:defRPr/>
            </a:pPr>
            <a:endParaRPr lang="fr-FR"/>
          </a:p>
        </c:txPr>
        <c:crossAx val="90081536"/>
        <c:crosses val="autoZero"/>
        <c:crossBetween val="midCat"/>
      </c:valAx>
      <c:spPr>
        <a:ln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27258771929824577"/>
          <c:y val="0.8897894856964389"/>
          <c:w val="0.33267543859649129"/>
          <c:h val="9.6622521727118202E-2"/>
        </c:manualLayout>
      </c:layout>
      <c:txPr>
        <a:bodyPr/>
        <a:lstStyle/>
        <a:p>
          <a:pPr>
            <a:defRPr sz="900"/>
          </a:pPr>
          <a:endParaRPr lang="fr-FR"/>
        </a:p>
      </c:txPr>
    </c:legend>
    <c:plotVisOnly val="1"/>
  </c:chart>
  <c:spPr>
    <a:noFill/>
    <a:ln>
      <a:noFill/>
    </a:ln>
  </c:spPr>
  <c:txPr>
    <a:bodyPr/>
    <a:lstStyle/>
    <a:p>
      <a:pPr>
        <a:defRPr sz="1100">
          <a:latin typeface="Arial" pitchFamily="34" charset="0"/>
          <a:cs typeface="Arial" pitchFamily="34" charset="0"/>
        </a:defRPr>
      </a:pPr>
      <a:endParaRPr lang="fr-FR"/>
    </a:p>
  </c:txPr>
  <c:externalData r:id="rId1"/>
</c:chartSpac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hp</cp:lastModifiedBy>
  <cp:revision>4</cp:revision>
  <dcterms:created xsi:type="dcterms:W3CDTF">2014-08-17T11:44:00Z</dcterms:created>
  <dcterms:modified xsi:type="dcterms:W3CDTF">2014-08-17T12:08:00Z</dcterms:modified>
</cp:coreProperties>
</file>