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43D" w:rsidRPr="002A5883" w:rsidRDefault="00A95ADB" w:rsidP="002A5883">
      <w:pPr>
        <w:jc w:val="center"/>
        <w:rPr>
          <w:b/>
          <w:u w:val="single"/>
        </w:rPr>
      </w:pPr>
      <w:r>
        <w:rPr>
          <w:b/>
          <w:u w:val="single"/>
        </w:rPr>
        <w:t>Additional File 1</w:t>
      </w:r>
      <w:bookmarkStart w:id="0" w:name="_GoBack"/>
      <w:bookmarkEnd w:id="0"/>
    </w:p>
    <w:p w:rsidR="00D07A7E" w:rsidRPr="00D07A7E" w:rsidRDefault="00D07A7E" w:rsidP="00D07A7E">
      <w:pPr>
        <w:pStyle w:val="ListParagraph"/>
        <w:numPr>
          <w:ilvl w:val="0"/>
          <w:numId w:val="1"/>
        </w:numPr>
      </w:pPr>
      <w:r w:rsidRPr="00D07A7E">
        <w:t>Spatial clustering of people around cities in the Brazilian Amazon region</w:t>
      </w:r>
    </w:p>
    <w:p w:rsidR="00D07A7E" w:rsidRPr="00D07A7E" w:rsidRDefault="00D07A7E" w:rsidP="00D07A7E">
      <w:pPr>
        <w:autoSpaceDE w:val="0"/>
        <w:autoSpaceDN w:val="0"/>
        <w:adjustRightInd w:val="0"/>
        <w:spacing w:after="0" w:line="240" w:lineRule="auto"/>
        <w:rPr>
          <w:rFonts w:cs="Arial"/>
        </w:rPr>
      </w:pPr>
      <w:r w:rsidRPr="00D07A7E">
        <w:rPr>
          <w:rFonts w:cs="Arial"/>
        </w:rPr>
        <w:t xml:space="preserve">Counties in the Amazon region can be huge (e.g., the Brazilian county of Altamira alone is larger in area than Greece). Nevertheless, the distribution of population is highly uneven, clustered around towns. This is clearly illustrated in the figure below, which uses the 2010 Brazilian census track information and assumes a 50 km buffer around each city. This figure shows the proportion of the population (y-axis) and the county area (x-axis) that fall within this 50 km buffer. If the population was evenly spread </w:t>
      </w:r>
      <w:r>
        <w:rPr>
          <w:rFonts w:cs="Arial"/>
        </w:rPr>
        <w:t xml:space="preserve">within each </w:t>
      </w:r>
      <w:r w:rsidRPr="00D07A7E">
        <w:rPr>
          <w:rFonts w:cs="Arial"/>
        </w:rPr>
        <w:t xml:space="preserve">county, </w:t>
      </w:r>
      <w:r w:rsidR="00752DF2">
        <w:rPr>
          <w:rFonts w:cs="Arial"/>
        </w:rPr>
        <w:t xml:space="preserve">then the </w:t>
      </w:r>
      <w:r w:rsidRPr="00D07A7E">
        <w:rPr>
          <w:rFonts w:cs="Arial"/>
        </w:rPr>
        <w:t xml:space="preserve">observations </w:t>
      </w:r>
      <w:r w:rsidR="00752DF2">
        <w:rPr>
          <w:rFonts w:cs="Arial"/>
        </w:rPr>
        <w:t xml:space="preserve">would </w:t>
      </w:r>
      <w:r w:rsidRPr="00D07A7E">
        <w:rPr>
          <w:rFonts w:cs="Arial"/>
        </w:rPr>
        <w:t xml:space="preserve">fall </w:t>
      </w:r>
      <w:r>
        <w:rPr>
          <w:rFonts w:cs="Arial"/>
        </w:rPr>
        <w:t xml:space="preserve">roughly </w:t>
      </w:r>
      <w:r w:rsidR="00D544E9">
        <w:rPr>
          <w:rFonts w:cs="Arial"/>
        </w:rPr>
        <w:t xml:space="preserve">along </w:t>
      </w:r>
      <w:r w:rsidRPr="00D07A7E">
        <w:rPr>
          <w:rFonts w:cs="Arial"/>
        </w:rPr>
        <w:t xml:space="preserve">the diagonal 1:1 line. However, for the vast majority of counties, such a buffer includes a much higher proportion of the population than its corresponding area would suggest (Fig. </w:t>
      </w:r>
      <w:r w:rsidR="008453BE">
        <w:rPr>
          <w:rFonts w:cs="Arial"/>
        </w:rPr>
        <w:t>A</w:t>
      </w:r>
      <w:r w:rsidRPr="00D07A7E">
        <w:rPr>
          <w:rFonts w:cs="Arial"/>
        </w:rPr>
        <w:t>1). Another way of seeing this spatial clustering around towns is to observe that 95% of the counties have &gt;80% of its population living within this 50 km buffer.</w:t>
      </w:r>
      <w:r>
        <w:rPr>
          <w:rFonts w:cs="Arial"/>
        </w:rPr>
        <w:t xml:space="preserve"> On the other hand, only 53% of the counties have &gt;80% of its area within this buffer</w:t>
      </w:r>
      <w:r w:rsidR="005B29AD">
        <w:rPr>
          <w:rFonts w:cs="Arial"/>
        </w:rPr>
        <w:t>.</w:t>
      </w:r>
    </w:p>
    <w:p w:rsidR="00D07A7E" w:rsidRPr="00D07A7E" w:rsidRDefault="00D07A7E" w:rsidP="00D07A7E">
      <w:pPr>
        <w:spacing w:after="0" w:line="240" w:lineRule="auto"/>
        <w:rPr>
          <w:rFonts w:cs="Arial"/>
        </w:rPr>
      </w:pPr>
    </w:p>
    <w:p w:rsidR="00D07A7E" w:rsidRPr="00D07A7E" w:rsidRDefault="00D07A7E" w:rsidP="00D07A7E">
      <w:pPr>
        <w:rPr>
          <w:rFonts w:cs="Arial"/>
        </w:rPr>
      </w:pPr>
      <w:r w:rsidRPr="00D07A7E">
        <w:rPr>
          <w:rFonts w:cs="Arial"/>
        </w:rPr>
        <w:t xml:space="preserve">As a result of this uneven distribution of the population, people might live in a largely deforested area but a covariate that is assessed over the entire county might suggest that the area is heavily forested. For this reason, we strongly believe that assessing our environmental covariates within this 50 km buffer around each city is a better option than assessing these covariates over the entire county. Furthermore, we emphasize that a buffer of 50 km around towns includes a considerable fraction of </w:t>
      </w:r>
      <w:r w:rsidR="00D544E9">
        <w:rPr>
          <w:rFonts w:cs="Arial"/>
        </w:rPr>
        <w:t xml:space="preserve">populated </w:t>
      </w:r>
      <w:r w:rsidRPr="00D07A7E">
        <w:rPr>
          <w:rFonts w:cs="Arial"/>
        </w:rPr>
        <w:t xml:space="preserve">rural areas. Thus, </w:t>
      </w:r>
      <w:r w:rsidR="00752DF2">
        <w:rPr>
          <w:rFonts w:cs="Arial"/>
        </w:rPr>
        <w:t xml:space="preserve">our results should not be interpreted as pertaining only to </w:t>
      </w:r>
      <w:r w:rsidRPr="00D07A7E">
        <w:rPr>
          <w:rFonts w:cs="Arial"/>
        </w:rPr>
        <w:t>urban malaria.</w:t>
      </w:r>
    </w:p>
    <w:p w:rsidR="00D07A7E" w:rsidRDefault="00D07A7E">
      <w:pPr>
        <w:rPr>
          <w:rFonts w:cs="Arial"/>
          <w:color w:val="FF0000"/>
        </w:rPr>
      </w:pPr>
      <w:r>
        <w:rPr>
          <w:rFonts w:cs="Arial"/>
          <w:color w:val="FF0000"/>
        </w:rPr>
        <w:br w:type="page"/>
      </w:r>
    </w:p>
    <w:p w:rsidR="00D07A7E" w:rsidRPr="00D07A7E" w:rsidRDefault="00D07A7E" w:rsidP="00D07A7E">
      <w:pPr>
        <w:autoSpaceDE w:val="0"/>
        <w:autoSpaceDN w:val="0"/>
        <w:adjustRightInd w:val="0"/>
        <w:spacing w:after="0" w:line="240" w:lineRule="auto"/>
        <w:rPr>
          <w:rFonts w:cs="Arial"/>
        </w:rPr>
      </w:pPr>
      <w:proofErr w:type="gramStart"/>
      <w:r w:rsidRPr="00D07A7E">
        <w:rPr>
          <w:rFonts w:cs="Arial"/>
          <w:b/>
        </w:rPr>
        <w:lastRenderedPageBreak/>
        <w:t>Fig.</w:t>
      </w:r>
      <w:proofErr w:type="gramEnd"/>
      <w:r w:rsidRPr="00D07A7E">
        <w:rPr>
          <w:rFonts w:cs="Arial"/>
          <w:b/>
        </w:rPr>
        <w:t xml:space="preserve"> </w:t>
      </w:r>
      <w:r w:rsidR="008453BE">
        <w:rPr>
          <w:rFonts w:cs="Arial"/>
          <w:b/>
        </w:rPr>
        <w:t>A</w:t>
      </w:r>
      <w:r w:rsidRPr="00D07A7E">
        <w:rPr>
          <w:rFonts w:cs="Arial"/>
          <w:b/>
        </w:rPr>
        <w:t xml:space="preserve">1. </w:t>
      </w:r>
      <w:proofErr w:type="gramStart"/>
      <w:r w:rsidRPr="00D07A7E">
        <w:rPr>
          <w:rFonts w:cs="Arial"/>
          <w:b/>
        </w:rPr>
        <w:t>Spatial clustering of the population around cities</w:t>
      </w:r>
      <w:r w:rsidRPr="00D07A7E">
        <w:rPr>
          <w:rFonts w:cs="Arial"/>
        </w:rPr>
        <w:t>.</w:t>
      </w:r>
      <w:proofErr w:type="gramEnd"/>
      <w:r w:rsidRPr="00D07A7E">
        <w:rPr>
          <w:rFonts w:cs="Arial"/>
        </w:rPr>
        <w:t xml:space="preserve"> The proportion of the area (x-axis) and the proportion of the population (y-axis) for each county (circles) within a 50 km buffer around </w:t>
      </w:r>
      <w:r>
        <w:rPr>
          <w:rFonts w:cs="Arial"/>
        </w:rPr>
        <w:t>each city</w:t>
      </w:r>
      <w:r w:rsidRPr="00D07A7E">
        <w:rPr>
          <w:rFonts w:cs="Arial"/>
        </w:rPr>
        <w:t>.</w:t>
      </w:r>
    </w:p>
    <w:p w:rsidR="00D07A7E" w:rsidRDefault="00D07A7E">
      <w:pPr>
        <w:rPr>
          <w:b/>
        </w:rPr>
      </w:pPr>
    </w:p>
    <w:p w:rsidR="00D07A7E" w:rsidRPr="00D07A7E" w:rsidRDefault="00D07A7E" w:rsidP="00D07A7E">
      <w:pPr>
        <w:autoSpaceDE w:val="0"/>
        <w:autoSpaceDN w:val="0"/>
        <w:adjustRightInd w:val="0"/>
        <w:spacing w:after="0" w:line="240" w:lineRule="auto"/>
        <w:rPr>
          <w:rFonts w:cs="Arial"/>
          <w:color w:val="FF0000"/>
        </w:rPr>
      </w:pPr>
      <w:r w:rsidRPr="00D07A7E">
        <w:rPr>
          <w:rFonts w:cs="Arial"/>
          <w:noProof/>
          <w:color w:val="FF0000"/>
        </w:rPr>
        <w:drawing>
          <wp:inline distT="0" distB="0" distL="0" distR="0" wp14:anchorId="44AAD4FA" wp14:editId="68B952A2">
            <wp:extent cx="3695700"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2010.png"/>
                    <pic:cNvPicPr/>
                  </pic:nvPicPr>
                  <pic:blipFill>
                    <a:blip r:embed="rId6">
                      <a:extLst>
                        <a:ext uri="{28A0092B-C50C-407E-A947-70E740481C1C}">
                          <a14:useLocalDpi xmlns:a14="http://schemas.microsoft.com/office/drawing/2010/main" val="0"/>
                        </a:ext>
                      </a:extLst>
                    </a:blip>
                    <a:stretch>
                      <a:fillRect/>
                    </a:stretch>
                  </pic:blipFill>
                  <pic:spPr>
                    <a:xfrm>
                      <a:off x="0" y="0"/>
                      <a:ext cx="3693564" cy="3693564"/>
                    </a:xfrm>
                    <a:prstGeom prst="rect">
                      <a:avLst/>
                    </a:prstGeom>
                  </pic:spPr>
                </pic:pic>
              </a:graphicData>
            </a:graphic>
          </wp:inline>
        </w:drawing>
      </w:r>
    </w:p>
    <w:p w:rsidR="00D07A7E" w:rsidRDefault="00D07A7E">
      <w:pPr>
        <w:rPr>
          <w:b/>
        </w:rPr>
      </w:pPr>
    </w:p>
    <w:p w:rsidR="00D07A7E" w:rsidRDefault="00D07A7E">
      <w:pPr>
        <w:rPr>
          <w:b/>
        </w:rPr>
      </w:pPr>
      <w:r>
        <w:rPr>
          <w:b/>
        </w:rPr>
        <w:br w:type="page"/>
      </w:r>
    </w:p>
    <w:p w:rsidR="002A5883" w:rsidRDefault="006E3654">
      <w:r w:rsidRPr="00B70BAD">
        <w:rPr>
          <w:b/>
        </w:rPr>
        <w:lastRenderedPageBreak/>
        <w:t xml:space="preserve">Table A1. </w:t>
      </w:r>
      <w:r w:rsidR="002A5883" w:rsidRPr="00B70BAD">
        <w:rPr>
          <w:b/>
        </w:rPr>
        <w:t>Parameter estimates for regression parameters</w:t>
      </w:r>
      <w:r w:rsidR="006F1B39">
        <w:rPr>
          <w:b/>
        </w:rPr>
        <w:t xml:space="preserve"> in our final model</w:t>
      </w:r>
      <w:r w:rsidRPr="00B70BAD">
        <w:rPr>
          <w:b/>
        </w:rPr>
        <w:t xml:space="preserve">. </w:t>
      </w:r>
      <w:r>
        <w:t>Statistically significant parameters are emphasized in bold while non-significant parameters are depicted in grey. CI stands for credible interval.</w:t>
      </w:r>
    </w:p>
    <w:tbl>
      <w:tblPr>
        <w:tblW w:w="10681" w:type="dxa"/>
        <w:tblInd w:w="93" w:type="dxa"/>
        <w:tblLook w:val="04A0" w:firstRow="1" w:lastRow="0" w:firstColumn="1" w:lastColumn="0" w:noHBand="0" w:noVBand="1"/>
      </w:tblPr>
      <w:tblGrid>
        <w:gridCol w:w="5055"/>
        <w:gridCol w:w="901"/>
        <w:gridCol w:w="900"/>
        <w:gridCol w:w="1034"/>
        <w:gridCol w:w="901"/>
        <w:gridCol w:w="900"/>
        <w:gridCol w:w="990"/>
      </w:tblGrid>
      <w:tr w:rsidR="001B131B" w:rsidRPr="001B131B" w:rsidTr="001B131B">
        <w:trPr>
          <w:trHeight w:val="300"/>
        </w:trPr>
        <w:tc>
          <w:tcPr>
            <w:tcW w:w="5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color w:val="000000"/>
              </w:rPr>
            </w:pPr>
            <w:r w:rsidRPr="001B131B">
              <w:rPr>
                <w:rFonts w:ascii="Calibri" w:eastAsia="Times New Roman" w:hAnsi="Calibri" w:cs="Times New Roman"/>
                <w:color w:val="000000"/>
              </w:rPr>
              <w:t> </w:t>
            </w:r>
          </w:p>
        </w:tc>
        <w:tc>
          <w:tcPr>
            <w:tcW w:w="2835" w:type="dxa"/>
            <w:gridSpan w:val="3"/>
            <w:tcBorders>
              <w:top w:val="single" w:sz="4" w:space="0" w:color="auto"/>
              <w:left w:val="nil"/>
              <w:bottom w:val="single" w:sz="4" w:space="0" w:color="auto"/>
              <w:right w:val="single" w:sz="4" w:space="0" w:color="auto"/>
            </w:tcBorders>
            <w:shd w:val="clear" w:color="auto" w:fill="auto"/>
            <w:noWrap/>
            <w:vAlign w:val="bottom"/>
          </w:tcPr>
          <w:p w:rsidR="001B131B" w:rsidRPr="001B131B" w:rsidRDefault="001B131B" w:rsidP="001B131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P. </w:t>
            </w:r>
            <w:proofErr w:type="spellStart"/>
            <w:r>
              <w:rPr>
                <w:rFonts w:ascii="Calibri" w:eastAsia="Times New Roman" w:hAnsi="Calibri" w:cs="Times New Roman"/>
                <w:color w:val="000000"/>
              </w:rPr>
              <w:t>vivax</w:t>
            </w:r>
            <w:proofErr w:type="spellEnd"/>
          </w:p>
        </w:tc>
        <w:tc>
          <w:tcPr>
            <w:tcW w:w="2791" w:type="dxa"/>
            <w:gridSpan w:val="3"/>
            <w:tcBorders>
              <w:top w:val="single" w:sz="4" w:space="0" w:color="auto"/>
              <w:left w:val="nil"/>
              <w:bottom w:val="single" w:sz="4" w:space="0" w:color="auto"/>
              <w:right w:val="single" w:sz="4" w:space="0" w:color="auto"/>
            </w:tcBorders>
            <w:shd w:val="clear" w:color="auto" w:fill="auto"/>
            <w:noWrap/>
            <w:vAlign w:val="bottom"/>
          </w:tcPr>
          <w:p w:rsidR="001B131B" w:rsidRPr="001B131B" w:rsidRDefault="001B131B" w:rsidP="001B131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 falciparum</w:t>
            </w:r>
          </w:p>
        </w:tc>
      </w:tr>
      <w:tr w:rsidR="001B131B" w:rsidRPr="001B131B" w:rsidTr="001B131B">
        <w:trPr>
          <w:trHeight w:val="300"/>
        </w:trPr>
        <w:tc>
          <w:tcPr>
            <w:tcW w:w="5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color w:val="000000"/>
              </w:rPr>
            </w:pPr>
            <w:r w:rsidRPr="001B131B">
              <w:rPr>
                <w:rFonts w:ascii="Calibri" w:eastAsia="Times New Roman" w:hAnsi="Calibri" w:cs="Times New Roman"/>
                <w:color w:val="000000"/>
              </w:rPr>
              <w:t> </w:t>
            </w:r>
          </w:p>
        </w:tc>
        <w:tc>
          <w:tcPr>
            <w:tcW w:w="901" w:type="dxa"/>
            <w:tcBorders>
              <w:top w:val="single" w:sz="4" w:space="0" w:color="auto"/>
              <w:left w:val="nil"/>
              <w:bottom w:val="single" w:sz="4" w:space="0" w:color="auto"/>
              <w:right w:val="single" w:sz="4" w:space="0" w:color="auto"/>
            </w:tcBorders>
            <w:shd w:val="clear" w:color="auto" w:fill="auto"/>
            <w:noWrap/>
            <w:vAlign w:val="bottom"/>
            <w:hideMark/>
          </w:tcPr>
          <w:p w:rsidR="001B131B" w:rsidRPr="002A5883" w:rsidRDefault="001B131B" w:rsidP="00265D5C">
            <w:pPr>
              <w:spacing w:after="0" w:line="240" w:lineRule="auto"/>
              <w:rPr>
                <w:rFonts w:ascii="Calibri" w:eastAsia="Times New Roman" w:hAnsi="Calibri" w:cs="Times New Roman"/>
                <w:color w:val="000000"/>
              </w:rPr>
            </w:pPr>
            <w:r w:rsidRPr="002A5883">
              <w:rPr>
                <w:rFonts w:ascii="Calibri" w:eastAsia="Times New Roman" w:hAnsi="Calibri" w:cs="Times New Roman"/>
                <w:color w:val="000000"/>
              </w:rPr>
              <w:t>Median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1B131B" w:rsidRPr="002A5883" w:rsidRDefault="001B131B" w:rsidP="00265D5C">
            <w:pPr>
              <w:spacing w:after="0" w:line="240" w:lineRule="auto"/>
              <w:rPr>
                <w:rFonts w:ascii="Calibri" w:eastAsia="Times New Roman" w:hAnsi="Calibri" w:cs="Times New Roman"/>
                <w:color w:val="000000"/>
              </w:rPr>
            </w:pPr>
            <w:r w:rsidRPr="002A5883">
              <w:rPr>
                <w:rFonts w:ascii="Calibri" w:eastAsia="Times New Roman" w:hAnsi="Calibri" w:cs="Times New Roman"/>
                <w:color w:val="000000"/>
              </w:rPr>
              <w:t>2.5% CI</w:t>
            </w:r>
          </w:p>
        </w:tc>
        <w:tc>
          <w:tcPr>
            <w:tcW w:w="1034" w:type="dxa"/>
            <w:tcBorders>
              <w:top w:val="single" w:sz="4" w:space="0" w:color="auto"/>
              <w:left w:val="nil"/>
              <w:bottom w:val="single" w:sz="4" w:space="0" w:color="auto"/>
              <w:right w:val="single" w:sz="4" w:space="0" w:color="auto"/>
            </w:tcBorders>
            <w:shd w:val="clear" w:color="auto" w:fill="auto"/>
            <w:noWrap/>
            <w:vAlign w:val="bottom"/>
            <w:hideMark/>
          </w:tcPr>
          <w:p w:rsidR="001B131B" w:rsidRPr="002A5883" w:rsidRDefault="001B131B" w:rsidP="00265D5C">
            <w:pPr>
              <w:spacing w:after="0" w:line="240" w:lineRule="auto"/>
              <w:rPr>
                <w:rFonts w:ascii="Calibri" w:eastAsia="Times New Roman" w:hAnsi="Calibri" w:cs="Times New Roman"/>
                <w:color w:val="000000"/>
              </w:rPr>
            </w:pPr>
            <w:r w:rsidRPr="002A5883">
              <w:rPr>
                <w:rFonts w:ascii="Calibri" w:eastAsia="Times New Roman" w:hAnsi="Calibri" w:cs="Times New Roman"/>
                <w:color w:val="000000"/>
              </w:rPr>
              <w:t>97.5% CI</w:t>
            </w:r>
          </w:p>
        </w:tc>
        <w:tc>
          <w:tcPr>
            <w:tcW w:w="901" w:type="dxa"/>
            <w:tcBorders>
              <w:top w:val="single" w:sz="4" w:space="0" w:color="auto"/>
              <w:left w:val="nil"/>
              <w:bottom w:val="single" w:sz="4" w:space="0" w:color="auto"/>
              <w:right w:val="single" w:sz="4" w:space="0" w:color="auto"/>
            </w:tcBorders>
            <w:shd w:val="clear" w:color="auto" w:fill="auto"/>
            <w:noWrap/>
            <w:vAlign w:val="bottom"/>
            <w:hideMark/>
          </w:tcPr>
          <w:p w:rsidR="001B131B" w:rsidRPr="002A5883" w:rsidRDefault="001B131B" w:rsidP="00265D5C">
            <w:pPr>
              <w:spacing w:after="0" w:line="240" w:lineRule="auto"/>
              <w:rPr>
                <w:rFonts w:ascii="Calibri" w:eastAsia="Times New Roman" w:hAnsi="Calibri" w:cs="Times New Roman"/>
                <w:color w:val="000000"/>
              </w:rPr>
            </w:pPr>
            <w:r w:rsidRPr="002A5883">
              <w:rPr>
                <w:rFonts w:ascii="Calibri" w:eastAsia="Times New Roman" w:hAnsi="Calibri" w:cs="Times New Roman"/>
                <w:color w:val="000000"/>
              </w:rPr>
              <w:t>Median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1B131B" w:rsidRPr="002A5883" w:rsidRDefault="001B131B" w:rsidP="00265D5C">
            <w:pPr>
              <w:spacing w:after="0" w:line="240" w:lineRule="auto"/>
              <w:rPr>
                <w:rFonts w:ascii="Calibri" w:eastAsia="Times New Roman" w:hAnsi="Calibri" w:cs="Times New Roman"/>
                <w:color w:val="000000"/>
              </w:rPr>
            </w:pPr>
            <w:r w:rsidRPr="002A5883">
              <w:rPr>
                <w:rFonts w:ascii="Calibri" w:eastAsia="Times New Roman" w:hAnsi="Calibri" w:cs="Times New Roman"/>
                <w:color w:val="000000"/>
              </w:rPr>
              <w:t>2.5% CI</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1B131B" w:rsidRPr="002A5883" w:rsidRDefault="001B131B" w:rsidP="00265D5C">
            <w:pPr>
              <w:spacing w:after="0" w:line="240" w:lineRule="auto"/>
              <w:rPr>
                <w:rFonts w:ascii="Calibri" w:eastAsia="Times New Roman" w:hAnsi="Calibri" w:cs="Times New Roman"/>
                <w:color w:val="000000"/>
              </w:rPr>
            </w:pPr>
            <w:r w:rsidRPr="002A5883">
              <w:rPr>
                <w:rFonts w:ascii="Calibri" w:eastAsia="Times New Roman" w:hAnsi="Calibri" w:cs="Times New Roman"/>
                <w:color w:val="000000"/>
              </w:rPr>
              <w:t>97.5% CI</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Intercept</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-7.45</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-8.02</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-6.94</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-8.74</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-9.28</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-8.23</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Annual deforestation rate (proportion of buffer)</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-0.27</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-0.49</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-0.05</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-0.17</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-0.38</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0.07</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Annual deforestation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0.09</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0.03</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0.14</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0.08</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0.02</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0.13</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Annual forest cover (proportion of buffer)</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1.01</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0.83</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1.19</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1.09</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0.91</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1.27</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Annual forest cover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-0.25</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-0.39</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-0.10</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-0.18</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-0.32</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-0.03</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Annual mean precipitation (mm per month)</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0.15</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-0.07</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0.40</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0.02</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-0.23</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0.27</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Annual mean precipitation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-0.01</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-0.10</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0.08</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0.00</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-0.10</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0.09</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Annual length of dry season (number of months with precipitation &lt; 100 mm/month)</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0.19</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0.04</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0.37</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0.24</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0.07</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0.41</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265D5C">
            <w:pPr>
              <w:spacing w:after="0" w:line="240" w:lineRule="auto"/>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Annual length of dry season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0.04</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-0.04</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0.12</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-0.02</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-0.10</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0.07</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Average income of rural households (</w:t>
            </w:r>
            <w:proofErr w:type="spellStart"/>
            <w:r w:rsidRPr="001B131B">
              <w:rPr>
                <w:rFonts w:ascii="Calibri" w:eastAsia="Times New Roman" w:hAnsi="Calibri" w:cs="Times New Roman"/>
                <w:b/>
                <w:color w:val="000000" w:themeColor="text1"/>
              </w:rPr>
              <w:t>reais</w:t>
            </w:r>
            <w:proofErr w:type="spellEnd"/>
            <w:r w:rsidRPr="001B131B">
              <w:rPr>
                <w:rFonts w:ascii="Calibri" w:eastAsia="Times New Roman" w:hAnsi="Calibri" w:cs="Times New Roman"/>
                <w:b/>
                <w:color w:val="000000" w:themeColor="text1"/>
              </w:rPr>
              <w:t xml:space="preserve"> per month)</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0.22</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0.08</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0.38</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0.32</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0.16</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0.46</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Average income of rural households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-0.07</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-0.11</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-0.03</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-0.09</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-0.13</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-0.05</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Mortality rate of children under 5 (per 1,000 live births)</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0.06</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-0.05</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0.18</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0.00</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-0.13</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0.12</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Mortality rate of children under 5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-0.04</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-0.10</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0.02</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-0.05</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-0.11</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0.01</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Proportion of migrants</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0.23</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0.07</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0.38</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0.37</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0.21</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0.53</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Proportion of migrants squared</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-0.05</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-0.07</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-0.02</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-0.07</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-0.09</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-0.04</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Main roads exist within 50 km (binary)</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0.34</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-0.02</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0.72</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-0.10</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-0.47</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0.28</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Large water bodies exist within 50 km (binary)</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0.39</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0.03</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0.76</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0.34</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-0.02</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color w:val="BFBFBF" w:themeColor="background1" w:themeShade="BF"/>
              </w:rPr>
            </w:pPr>
            <w:r w:rsidRPr="001B131B">
              <w:rPr>
                <w:rFonts w:ascii="Calibri" w:eastAsia="Times New Roman" w:hAnsi="Calibri" w:cs="Times New Roman"/>
                <w:color w:val="BFBFBF" w:themeColor="background1" w:themeShade="BF"/>
              </w:rPr>
              <w:t>0.70</w:t>
            </w:r>
          </w:p>
        </w:tc>
      </w:tr>
      <w:tr w:rsidR="001B131B" w:rsidRPr="001B131B" w:rsidTr="001B131B">
        <w:trPr>
          <w:trHeight w:val="300"/>
        </w:trPr>
        <w:tc>
          <w:tcPr>
            <w:tcW w:w="5055" w:type="dxa"/>
            <w:tcBorders>
              <w:top w:val="nil"/>
              <w:left w:val="single" w:sz="4" w:space="0" w:color="auto"/>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Goal mining operations exist within 50 km (binary)</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0.70</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0.39</w:t>
            </w:r>
          </w:p>
        </w:tc>
        <w:tc>
          <w:tcPr>
            <w:tcW w:w="1034"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1.00</w:t>
            </w:r>
          </w:p>
        </w:tc>
        <w:tc>
          <w:tcPr>
            <w:tcW w:w="901"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0.80</w:t>
            </w:r>
          </w:p>
        </w:tc>
        <w:tc>
          <w:tcPr>
            <w:tcW w:w="90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0.48</w:t>
            </w:r>
          </w:p>
        </w:tc>
        <w:tc>
          <w:tcPr>
            <w:tcW w:w="990" w:type="dxa"/>
            <w:tcBorders>
              <w:top w:val="nil"/>
              <w:left w:val="nil"/>
              <w:bottom w:val="single" w:sz="4" w:space="0" w:color="auto"/>
              <w:right w:val="single" w:sz="4" w:space="0" w:color="auto"/>
            </w:tcBorders>
            <w:shd w:val="clear" w:color="auto" w:fill="auto"/>
            <w:noWrap/>
            <w:vAlign w:val="bottom"/>
            <w:hideMark/>
          </w:tcPr>
          <w:p w:rsidR="001B131B" w:rsidRPr="001B131B" w:rsidRDefault="001B131B" w:rsidP="001B131B">
            <w:pPr>
              <w:spacing w:after="0" w:line="240" w:lineRule="auto"/>
              <w:jc w:val="right"/>
              <w:rPr>
                <w:rFonts w:ascii="Calibri" w:eastAsia="Times New Roman" w:hAnsi="Calibri" w:cs="Times New Roman"/>
                <w:b/>
                <w:color w:val="000000" w:themeColor="text1"/>
              </w:rPr>
            </w:pPr>
            <w:r w:rsidRPr="001B131B">
              <w:rPr>
                <w:rFonts w:ascii="Calibri" w:eastAsia="Times New Roman" w:hAnsi="Calibri" w:cs="Times New Roman"/>
                <w:b/>
                <w:color w:val="000000" w:themeColor="text1"/>
              </w:rPr>
              <w:t>1.11</w:t>
            </w:r>
          </w:p>
        </w:tc>
      </w:tr>
    </w:tbl>
    <w:p w:rsidR="001B131B" w:rsidRDefault="001B131B" w:rsidP="001B131B"/>
    <w:p w:rsidR="002A5883" w:rsidRDefault="001B131B" w:rsidP="001B131B">
      <w:pPr>
        <w:tabs>
          <w:tab w:val="left" w:pos="1695"/>
        </w:tabs>
      </w:pPr>
      <w:r>
        <w:tab/>
      </w:r>
    </w:p>
    <w:p w:rsidR="001B131B" w:rsidRPr="001B131B" w:rsidRDefault="001B131B" w:rsidP="001B131B">
      <w:pPr>
        <w:tabs>
          <w:tab w:val="left" w:pos="1695"/>
        </w:tabs>
      </w:pPr>
    </w:p>
    <w:sectPr w:rsidR="001B131B" w:rsidRPr="001B1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E7046"/>
    <w:multiLevelType w:val="hybridMultilevel"/>
    <w:tmpl w:val="3FB44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883"/>
    <w:rsid w:val="001B131B"/>
    <w:rsid w:val="002A5883"/>
    <w:rsid w:val="005B29AD"/>
    <w:rsid w:val="006C357F"/>
    <w:rsid w:val="006E3654"/>
    <w:rsid w:val="006F1B39"/>
    <w:rsid w:val="00752DF2"/>
    <w:rsid w:val="0078428D"/>
    <w:rsid w:val="008453BE"/>
    <w:rsid w:val="00A4143D"/>
    <w:rsid w:val="00A95ADB"/>
    <w:rsid w:val="00B70BAD"/>
    <w:rsid w:val="00D07A7E"/>
    <w:rsid w:val="00D1092A"/>
    <w:rsid w:val="00D5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7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A7E"/>
    <w:rPr>
      <w:rFonts w:ascii="Tahoma" w:hAnsi="Tahoma" w:cs="Tahoma"/>
      <w:sz w:val="16"/>
      <w:szCs w:val="16"/>
    </w:rPr>
  </w:style>
  <w:style w:type="paragraph" w:styleId="ListParagraph">
    <w:name w:val="List Paragraph"/>
    <w:basedOn w:val="Normal"/>
    <w:uiPriority w:val="34"/>
    <w:qFormat/>
    <w:rsid w:val="00D07A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7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A7E"/>
    <w:rPr>
      <w:rFonts w:ascii="Tahoma" w:hAnsi="Tahoma" w:cs="Tahoma"/>
      <w:sz w:val="16"/>
      <w:szCs w:val="16"/>
    </w:rPr>
  </w:style>
  <w:style w:type="paragraph" w:styleId="ListParagraph">
    <w:name w:val="List Paragraph"/>
    <w:basedOn w:val="Normal"/>
    <w:uiPriority w:val="34"/>
    <w:qFormat/>
    <w:rsid w:val="00D07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266222">
      <w:bodyDiv w:val="1"/>
      <w:marLeft w:val="0"/>
      <w:marRight w:val="0"/>
      <w:marTop w:val="0"/>
      <w:marBottom w:val="0"/>
      <w:divBdr>
        <w:top w:val="none" w:sz="0" w:space="0" w:color="auto"/>
        <w:left w:val="none" w:sz="0" w:space="0" w:color="auto"/>
        <w:bottom w:val="none" w:sz="0" w:space="0" w:color="auto"/>
        <w:right w:val="none" w:sz="0" w:space="0" w:color="auto"/>
      </w:divBdr>
    </w:div>
    <w:div w:id="121885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Valle,Denis R</dc:creator>
  <cp:lastModifiedBy>Valle,Denis R</cp:lastModifiedBy>
  <cp:revision>11</cp:revision>
  <dcterms:created xsi:type="dcterms:W3CDTF">2014-08-19T13:18:00Z</dcterms:created>
  <dcterms:modified xsi:type="dcterms:W3CDTF">2014-11-14T16:42:00Z</dcterms:modified>
</cp:coreProperties>
</file>