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D43" w:rsidRPr="00756D43" w:rsidRDefault="00756D43" w:rsidP="00756D43">
      <w:pPr>
        <w:spacing w:after="200" w:line="276" w:lineRule="auto"/>
        <w:ind w:firstLine="0"/>
        <w:rPr>
          <w:rFonts w:cs="Times New Roman"/>
          <w:b/>
          <w:color w:val="1F497D"/>
        </w:rPr>
      </w:pPr>
      <w:r w:rsidRPr="00756D43">
        <w:rPr>
          <w:b/>
        </w:rPr>
        <w:t xml:space="preserve">Table 2 GRADE </w:t>
      </w:r>
      <w:proofErr w:type="gramStart"/>
      <w:r w:rsidRPr="00756D43">
        <w:rPr>
          <w:b/>
        </w:rPr>
        <w:t>analysis</w:t>
      </w:r>
      <w:proofErr w:type="gramEnd"/>
      <w:r w:rsidRPr="00756D43">
        <w:rPr>
          <w:b/>
        </w:rPr>
        <w:t>: quality of the overall literature pool assessing melatonin for the promotion of healthy sleep patterns</w:t>
      </w:r>
    </w:p>
    <w:tbl>
      <w:tblPr>
        <w:tblW w:w="1333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075"/>
        <w:gridCol w:w="1800"/>
        <w:gridCol w:w="2610"/>
        <w:gridCol w:w="1440"/>
        <w:gridCol w:w="1260"/>
        <w:gridCol w:w="3150"/>
      </w:tblGrid>
      <w:tr w:rsidR="00756D43" w:rsidRPr="00B8206B" w:rsidTr="00756D43">
        <w:trPr>
          <w:trHeight w:val="1380"/>
        </w:trPr>
        <w:tc>
          <w:tcPr>
            <w:tcW w:w="30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56D43" w:rsidRPr="002448E6" w:rsidRDefault="00756D43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</w:rPr>
            </w:pPr>
            <w:r w:rsidRPr="002448E6">
              <w:rPr>
                <w:rFonts w:cs="Times New Roman"/>
                <w:color w:val="000000"/>
              </w:rPr>
              <w:t>Category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56D43" w:rsidRPr="002448E6" w:rsidRDefault="00756D43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</w:rPr>
            </w:pPr>
            <w:r w:rsidRPr="002448E6">
              <w:rPr>
                <w:rFonts w:cs="Times New Roman"/>
                <w:color w:val="000000"/>
              </w:rPr>
              <w:t>Number of participants completed (Number of Studies)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56D43" w:rsidRPr="002448E6" w:rsidRDefault="00756D43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</w:rPr>
            </w:pPr>
            <w:r w:rsidRPr="002448E6">
              <w:rPr>
                <w:rFonts w:cs="Times New Roman"/>
                <w:color w:val="000000"/>
              </w:rPr>
              <w:t>Confidence in Estimate of Effect GRADE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56D43" w:rsidRPr="002448E6" w:rsidRDefault="00756D43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</w:rPr>
            </w:pPr>
            <w:r w:rsidRPr="002448E6">
              <w:rPr>
                <w:rFonts w:cs="Times New Roman"/>
                <w:color w:val="000000"/>
              </w:rPr>
              <w:t>Magnitude of Estimate of Effect GRADE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56D43" w:rsidRPr="002448E6" w:rsidRDefault="00756D43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</w:rPr>
            </w:pPr>
            <w:r w:rsidRPr="002448E6">
              <w:rPr>
                <w:rFonts w:cs="Times New Roman"/>
                <w:color w:val="000000"/>
              </w:rPr>
              <w:t>Safety GRADE</w:t>
            </w:r>
          </w:p>
        </w:tc>
        <w:tc>
          <w:tcPr>
            <w:tcW w:w="31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56D43" w:rsidRPr="002448E6" w:rsidRDefault="00756D43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</w:rPr>
            </w:pPr>
            <w:r w:rsidRPr="002448E6">
              <w:rPr>
                <w:rFonts w:cs="Times New Roman"/>
                <w:color w:val="000000"/>
              </w:rPr>
              <w:t>Strength of the Recommendation</w:t>
            </w:r>
          </w:p>
        </w:tc>
      </w:tr>
      <w:tr w:rsidR="00756D43" w:rsidRPr="00E302AC" w:rsidTr="00756D43">
        <w:trPr>
          <w:trHeight w:val="485"/>
        </w:trPr>
        <w:tc>
          <w:tcPr>
            <w:tcW w:w="3075" w:type="dxa"/>
            <w:tcBorders>
              <w:top w:val="single" w:sz="12" w:space="0" w:color="auto"/>
            </w:tcBorders>
            <w:vAlign w:val="center"/>
          </w:tcPr>
          <w:p w:rsidR="00756D43" w:rsidRPr="00E302AC" w:rsidRDefault="00756D43" w:rsidP="00F84A6E">
            <w:pPr>
              <w:spacing w:before="40" w:after="40" w:line="240" w:lineRule="auto"/>
              <w:ind w:firstLine="0"/>
              <w:jc w:val="both"/>
              <w:rPr>
                <w:rFonts w:cs="Times New Roman"/>
                <w:b/>
                <w:color w:val="000000"/>
              </w:rPr>
            </w:pPr>
            <w:r w:rsidRPr="00E302AC">
              <w:rPr>
                <w:rFonts w:cs="Times New Roman"/>
                <w:b/>
                <w:color w:val="000000"/>
              </w:rPr>
              <w:t>Shift Workers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:rsidR="00756D43" w:rsidRPr="00E302AC" w:rsidRDefault="00756D43" w:rsidP="00F84A6E">
            <w:pPr>
              <w:spacing w:before="40" w:after="40" w:line="240" w:lineRule="auto"/>
              <w:ind w:firstLine="0"/>
              <w:jc w:val="both"/>
              <w:rPr>
                <w:rFonts w:cs="Times New Roman"/>
                <w:color w:val="000000"/>
              </w:rPr>
            </w:pPr>
            <w:r w:rsidRPr="00E302AC">
              <w:rPr>
                <w:rFonts w:cs="Times New Roman"/>
                <w:color w:val="000000"/>
              </w:rPr>
              <w:t>300 (8)</w:t>
            </w:r>
          </w:p>
        </w:tc>
        <w:tc>
          <w:tcPr>
            <w:tcW w:w="2610" w:type="dxa"/>
            <w:tcBorders>
              <w:top w:val="single" w:sz="12" w:space="0" w:color="auto"/>
            </w:tcBorders>
            <w:vAlign w:val="center"/>
          </w:tcPr>
          <w:p w:rsidR="00756D43" w:rsidRPr="00E302AC" w:rsidRDefault="00756D43" w:rsidP="00F84A6E">
            <w:pPr>
              <w:spacing w:before="40" w:after="40" w:line="240" w:lineRule="auto"/>
              <w:ind w:firstLine="72"/>
              <w:rPr>
                <w:rFonts w:cs="Times New Roman"/>
                <w:color w:val="000000"/>
              </w:rPr>
            </w:pPr>
            <w:r w:rsidRPr="00E302AC">
              <w:rPr>
                <w:rFonts w:cs="Times New Roman"/>
                <w:color w:val="000000"/>
              </w:rPr>
              <w:t>C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:rsidR="00756D43" w:rsidRPr="00E302AC" w:rsidRDefault="00756D43" w:rsidP="00F84A6E">
            <w:pPr>
              <w:spacing w:before="40" w:after="40" w:line="240" w:lineRule="auto"/>
              <w:ind w:firstLine="72"/>
              <w:rPr>
                <w:rFonts w:cs="Times New Roman"/>
                <w:color w:val="000000"/>
              </w:rPr>
            </w:pPr>
            <w:r w:rsidRPr="00E302AC">
              <w:rPr>
                <w:rFonts w:cs="Times New Roman"/>
                <w:color w:val="000000"/>
              </w:rPr>
              <w:t>ND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noWrap/>
            <w:vAlign w:val="center"/>
          </w:tcPr>
          <w:p w:rsidR="00756D43" w:rsidRPr="00E302AC" w:rsidRDefault="00756D43" w:rsidP="00F84A6E">
            <w:pPr>
              <w:spacing w:before="40" w:after="40" w:line="240" w:lineRule="auto"/>
              <w:ind w:firstLine="72"/>
              <w:rPr>
                <w:rFonts w:cs="Times New Roman"/>
                <w:color w:val="000000"/>
              </w:rPr>
            </w:pPr>
            <w:r w:rsidRPr="00E302AC">
              <w:rPr>
                <w:rFonts w:cs="Times New Roman"/>
                <w:color w:val="000000"/>
              </w:rPr>
              <w:t>+1</w:t>
            </w:r>
          </w:p>
        </w:tc>
        <w:tc>
          <w:tcPr>
            <w:tcW w:w="3150" w:type="dxa"/>
            <w:tcBorders>
              <w:top w:val="single" w:sz="12" w:space="0" w:color="auto"/>
            </w:tcBorders>
            <w:vAlign w:val="center"/>
          </w:tcPr>
          <w:p w:rsidR="00756D43" w:rsidRPr="00E302AC" w:rsidRDefault="00756D43" w:rsidP="00F84A6E">
            <w:pPr>
              <w:spacing w:before="40" w:after="40" w:line="240" w:lineRule="auto"/>
              <w:ind w:firstLine="72"/>
              <w:rPr>
                <w:rFonts w:cs="Times New Roman"/>
                <w:color w:val="000000"/>
              </w:rPr>
            </w:pPr>
            <w:r w:rsidRPr="00E302AC">
              <w:rPr>
                <w:rFonts w:cs="Times New Roman"/>
                <w:color w:val="000000"/>
              </w:rPr>
              <w:t>None</w:t>
            </w:r>
          </w:p>
        </w:tc>
      </w:tr>
      <w:tr w:rsidR="00756D43" w:rsidRPr="00E302AC" w:rsidTr="00F84A6E">
        <w:trPr>
          <w:trHeight w:val="440"/>
        </w:trPr>
        <w:tc>
          <w:tcPr>
            <w:tcW w:w="3075" w:type="dxa"/>
            <w:vAlign w:val="center"/>
          </w:tcPr>
          <w:p w:rsidR="00756D43" w:rsidRPr="00E302AC" w:rsidRDefault="00756D43" w:rsidP="00F84A6E">
            <w:pPr>
              <w:spacing w:before="40" w:after="40" w:line="240" w:lineRule="auto"/>
              <w:ind w:firstLine="0"/>
              <w:jc w:val="both"/>
              <w:rPr>
                <w:rFonts w:cs="Times New Roman"/>
                <w:b/>
                <w:color w:val="000000"/>
              </w:rPr>
            </w:pPr>
            <w:r w:rsidRPr="00E302AC">
              <w:rPr>
                <w:rFonts w:cs="Times New Roman"/>
                <w:b/>
                <w:color w:val="000000"/>
              </w:rPr>
              <w:t>Jet Lag</w:t>
            </w:r>
          </w:p>
        </w:tc>
        <w:tc>
          <w:tcPr>
            <w:tcW w:w="1800" w:type="dxa"/>
            <w:vAlign w:val="center"/>
          </w:tcPr>
          <w:p w:rsidR="00756D43" w:rsidRPr="00E302AC" w:rsidRDefault="00756D43" w:rsidP="00F84A6E">
            <w:pPr>
              <w:spacing w:before="40" w:after="40" w:line="240" w:lineRule="auto"/>
              <w:ind w:hanging="18"/>
              <w:jc w:val="both"/>
              <w:rPr>
                <w:rFonts w:cs="Times New Roman"/>
                <w:color w:val="000000"/>
              </w:rPr>
            </w:pPr>
            <w:r w:rsidRPr="00E302AC">
              <w:rPr>
                <w:rFonts w:cs="Times New Roman"/>
                <w:color w:val="000000"/>
              </w:rPr>
              <w:t>972 (8)</w:t>
            </w:r>
          </w:p>
        </w:tc>
        <w:tc>
          <w:tcPr>
            <w:tcW w:w="2610" w:type="dxa"/>
            <w:vAlign w:val="center"/>
          </w:tcPr>
          <w:p w:rsidR="00756D43" w:rsidRPr="00E302AC" w:rsidRDefault="00756D43" w:rsidP="00F84A6E">
            <w:pPr>
              <w:spacing w:before="40" w:after="40" w:line="240" w:lineRule="auto"/>
              <w:ind w:firstLine="72"/>
              <w:rPr>
                <w:rFonts w:cs="Times New Roman"/>
                <w:color w:val="000000"/>
              </w:rPr>
            </w:pPr>
            <w:r w:rsidRPr="00E302AC">
              <w:rPr>
                <w:rFonts w:cs="Times New Roman"/>
                <w:color w:val="000000"/>
              </w:rPr>
              <w:t>B</w:t>
            </w:r>
          </w:p>
        </w:tc>
        <w:tc>
          <w:tcPr>
            <w:tcW w:w="1440" w:type="dxa"/>
            <w:vAlign w:val="center"/>
          </w:tcPr>
          <w:p w:rsidR="00756D43" w:rsidRPr="00E302AC" w:rsidRDefault="00756D43" w:rsidP="00F84A6E">
            <w:pPr>
              <w:spacing w:before="40" w:after="40" w:line="240" w:lineRule="auto"/>
              <w:ind w:firstLine="72"/>
              <w:rPr>
                <w:rFonts w:cs="Times New Roman"/>
                <w:color w:val="000000"/>
              </w:rPr>
            </w:pPr>
            <w:r w:rsidRPr="00E302AC">
              <w:rPr>
                <w:rFonts w:cs="Times New Roman"/>
                <w:color w:val="000000"/>
              </w:rPr>
              <w:t>ND</w:t>
            </w:r>
          </w:p>
        </w:tc>
        <w:tc>
          <w:tcPr>
            <w:tcW w:w="1260" w:type="dxa"/>
            <w:noWrap/>
            <w:vAlign w:val="center"/>
          </w:tcPr>
          <w:p w:rsidR="00756D43" w:rsidRPr="00E302AC" w:rsidRDefault="00756D43" w:rsidP="00F84A6E">
            <w:pPr>
              <w:spacing w:before="40" w:after="40" w:line="240" w:lineRule="auto"/>
              <w:ind w:firstLine="72"/>
              <w:rPr>
                <w:rFonts w:cs="Times New Roman"/>
                <w:color w:val="000000"/>
              </w:rPr>
            </w:pPr>
            <w:r w:rsidRPr="00E302AC">
              <w:rPr>
                <w:rFonts w:cs="Times New Roman"/>
                <w:color w:val="000000"/>
              </w:rPr>
              <w:t>+1</w:t>
            </w:r>
          </w:p>
        </w:tc>
        <w:tc>
          <w:tcPr>
            <w:tcW w:w="3150" w:type="dxa"/>
            <w:vAlign w:val="center"/>
          </w:tcPr>
          <w:p w:rsidR="00756D43" w:rsidRPr="00E302AC" w:rsidRDefault="00756D43" w:rsidP="00F84A6E">
            <w:pPr>
              <w:spacing w:before="40" w:after="40" w:line="240" w:lineRule="auto"/>
              <w:ind w:firstLine="72"/>
              <w:rPr>
                <w:rFonts w:cs="Times New Roman"/>
                <w:color w:val="000000"/>
              </w:rPr>
            </w:pPr>
            <w:r w:rsidRPr="00E302AC">
              <w:rPr>
                <w:rFonts w:cs="Times New Roman"/>
                <w:color w:val="000000"/>
              </w:rPr>
              <w:t>Weak, in favor</w:t>
            </w:r>
          </w:p>
        </w:tc>
      </w:tr>
      <w:tr w:rsidR="00756D43" w:rsidRPr="00E302AC" w:rsidTr="00F84A6E">
        <w:trPr>
          <w:trHeight w:val="440"/>
        </w:trPr>
        <w:tc>
          <w:tcPr>
            <w:tcW w:w="3075" w:type="dxa"/>
            <w:vAlign w:val="center"/>
          </w:tcPr>
          <w:p w:rsidR="00756D43" w:rsidRPr="00E302AC" w:rsidRDefault="00756D43" w:rsidP="00F84A6E">
            <w:pPr>
              <w:ind w:firstLine="0"/>
              <w:jc w:val="both"/>
              <w:rPr>
                <w:rFonts w:cs="Times New Roman"/>
                <w:b/>
                <w:color w:val="000000"/>
              </w:rPr>
            </w:pPr>
            <w:r w:rsidRPr="00E302AC">
              <w:rPr>
                <w:rFonts w:cs="Times New Roman"/>
                <w:b/>
                <w:color w:val="000000"/>
              </w:rPr>
              <w:t>Insomnia</w:t>
            </w:r>
          </w:p>
        </w:tc>
        <w:tc>
          <w:tcPr>
            <w:tcW w:w="1800" w:type="dxa"/>
            <w:vAlign w:val="center"/>
          </w:tcPr>
          <w:p w:rsidR="00756D43" w:rsidRPr="00E302AC" w:rsidRDefault="00756D43" w:rsidP="00F84A6E">
            <w:pPr>
              <w:ind w:firstLine="0"/>
              <w:jc w:val="both"/>
              <w:rPr>
                <w:rFonts w:cs="Times New Roman"/>
                <w:color w:val="000000"/>
              </w:rPr>
            </w:pPr>
            <w:r w:rsidRPr="00E302AC">
              <w:rPr>
                <w:rFonts w:cs="Times New Roman"/>
                <w:color w:val="000000"/>
              </w:rPr>
              <w:t>845 (4)</w:t>
            </w:r>
          </w:p>
        </w:tc>
        <w:tc>
          <w:tcPr>
            <w:tcW w:w="2610" w:type="dxa"/>
            <w:vAlign w:val="center"/>
          </w:tcPr>
          <w:p w:rsidR="00756D43" w:rsidRPr="00E302AC" w:rsidRDefault="00756D43" w:rsidP="00F84A6E">
            <w:pPr>
              <w:ind w:firstLine="72"/>
              <w:rPr>
                <w:rFonts w:cs="Times New Roman"/>
                <w:color w:val="000000"/>
              </w:rPr>
            </w:pPr>
            <w:r w:rsidRPr="00E302AC">
              <w:rPr>
                <w:rFonts w:cs="Times New Roman"/>
                <w:color w:val="000000"/>
              </w:rPr>
              <w:t>B</w:t>
            </w:r>
          </w:p>
        </w:tc>
        <w:tc>
          <w:tcPr>
            <w:tcW w:w="1440" w:type="dxa"/>
            <w:vAlign w:val="center"/>
          </w:tcPr>
          <w:p w:rsidR="00756D43" w:rsidRPr="00E302AC" w:rsidRDefault="00756D43" w:rsidP="00F84A6E">
            <w:pPr>
              <w:ind w:firstLine="72"/>
              <w:rPr>
                <w:rFonts w:cs="Times New Roman"/>
                <w:color w:val="000000"/>
              </w:rPr>
            </w:pPr>
            <w:r w:rsidRPr="00E302AC">
              <w:rPr>
                <w:rFonts w:cs="Times New Roman"/>
                <w:color w:val="000000"/>
              </w:rPr>
              <w:t>ND</w:t>
            </w:r>
          </w:p>
        </w:tc>
        <w:tc>
          <w:tcPr>
            <w:tcW w:w="1260" w:type="dxa"/>
            <w:noWrap/>
            <w:vAlign w:val="center"/>
          </w:tcPr>
          <w:p w:rsidR="00756D43" w:rsidRPr="00E302AC" w:rsidRDefault="00756D43" w:rsidP="00F84A6E">
            <w:pPr>
              <w:ind w:firstLine="72"/>
              <w:rPr>
                <w:rFonts w:cs="Times New Roman"/>
                <w:color w:val="000000"/>
              </w:rPr>
            </w:pPr>
            <w:r w:rsidRPr="00E302AC">
              <w:rPr>
                <w:rFonts w:cs="Times New Roman"/>
                <w:color w:val="000000"/>
              </w:rPr>
              <w:t>+1</w:t>
            </w:r>
          </w:p>
        </w:tc>
        <w:tc>
          <w:tcPr>
            <w:tcW w:w="3150" w:type="dxa"/>
            <w:vAlign w:val="center"/>
          </w:tcPr>
          <w:p w:rsidR="00756D43" w:rsidRPr="00E302AC" w:rsidRDefault="00756D43" w:rsidP="00F84A6E">
            <w:pPr>
              <w:ind w:firstLine="72"/>
              <w:rPr>
                <w:rFonts w:cs="Times New Roman"/>
                <w:color w:val="000000"/>
              </w:rPr>
            </w:pPr>
            <w:r w:rsidRPr="00E302AC">
              <w:rPr>
                <w:rFonts w:cs="Times New Roman"/>
                <w:color w:val="000000"/>
              </w:rPr>
              <w:t>Weak, in favor</w:t>
            </w:r>
          </w:p>
        </w:tc>
      </w:tr>
      <w:tr w:rsidR="00756D43" w:rsidRPr="00E302AC" w:rsidTr="00F84A6E">
        <w:trPr>
          <w:trHeight w:val="440"/>
        </w:trPr>
        <w:tc>
          <w:tcPr>
            <w:tcW w:w="3075" w:type="dxa"/>
            <w:vAlign w:val="center"/>
          </w:tcPr>
          <w:p w:rsidR="00756D43" w:rsidRPr="00E302AC" w:rsidRDefault="00756D43" w:rsidP="00F84A6E">
            <w:pPr>
              <w:spacing w:before="40" w:after="40" w:line="240" w:lineRule="auto"/>
              <w:ind w:firstLine="0"/>
              <w:jc w:val="both"/>
              <w:rPr>
                <w:rFonts w:cs="Times New Roman"/>
                <w:b/>
                <w:color w:val="000000"/>
              </w:rPr>
            </w:pPr>
            <w:r w:rsidRPr="00E302AC">
              <w:rPr>
                <w:rFonts w:cs="Times New Roman"/>
                <w:b/>
                <w:color w:val="000000"/>
              </w:rPr>
              <w:t>Healthy Volunteers</w:t>
            </w:r>
          </w:p>
        </w:tc>
        <w:tc>
          <w:tcPr>
            <w:tcW w:w="1800" w:type="dxa"/>
            <w:vAlign w:val="center"/>
          </w:tcPr>
          <w:p w:rsidR="00756D43" w:rsidRPr="00E302AC" w:rsidRDefault="00756D43" w:rsidP="00F84A6E">
            <w:pPr>
              <w:spacing w:before="40" w:after="40" w:line="240" w:lineRule="auto"/>
              <w:jc w:val="both"/>
              <w:rPr>
                <w:rFonts w:cs="Times New Roman"/>
                <w:color w:val="000000"/>
              </w:rPr>
            </w:pPr>
          </w:p>
        </w:tc>
        <w:tc>
          <w:tcPr>
            <w:tcW w:w="2610" w:type="dxa"/>
            <w:vAlign w:val="center"/>
          </w:tcPr>
          <w:p w:rsidR="00756D43" w:rsidRPr="00E302AC" w:rsidRDefault="00756D43" w:rsidP="00F84A6E">
            <w:pPr>
              <w:spacing w:before="40" w:after="40" w:line="240" w:lineRule="auto"/>
              <w:ind w:firstLine="72"/>
              <w:rPr>
                <w:rFonts w:cs="Times New Roman"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756D43" w:rsidRPr="00E302AC" w:rsidRDefault="00756D43" w:rsidP="00F84A6E">
            <w:pPr>
              <w:spacing w:before="40" w:after="40" w:line="240" w:lineRule="auto"/>
              <w:ind w:firstLine="72"/>
              <w:rPr>
                <w:rFonts w:cs="Times New Roman"/>
                <w:color w:val="000000"/>
              </w:rPr>
            </w:pPr>
          </w:p>
        </w:tc>
        <w:tc>
          <w:tcPr>
            <w:tcW w:w="1260" w:type="dxa"/>
            <w:noWrap/>
            <w:vAlign w:val="center"/>
          </w:tcPr>
          <w:p w:rsidR="00756D43" w:rsidRPr="00E302AC" w:rsidRDefault="00756D43" w:rsidP="00F84A6E">
            <w:pPr>
              <w:spacing w:before="40" w:after="40" w:line="240" w:lineRule="auto"/>
              <w:ind w:firstLine="72"/>
              <w:rPr>
                <w:rFonts w:cs="Times New Roman"/>
                <w:color w:val="000000"/>
              </w:rPr>
            </w:pPr>
          </w:p>
        </w:tc>
        <w:tc>
          <w:tcPr>
            <w:tcW w:w="3150" w:type="dxa"/>
            <w:vAlign w:val="center"/>
          </w:tcPr>
          <w:p w:rsidR="00756D43" w:rsidRPr="00E302AC" w:rsidRDefault="00756D43" w:rsidP="00F84A6E">
            <w:pPr>
              <w:spacing w:before="40" w:after="40" w:line="240" w:lineRule="auto"/>
              <w:ind w:firstLine="72"/>
              <w:rPr>
                <w:rFonts w:cs="Times New Roman"/>
                <w:color w:val="000000"/>
              </w:rPr>
            </w:pPr>
          </w:p>
        </w:tc>
      </w:tr>
      <w:tr w:rsidR="00756D43" w:rsidRPr="00E302AC" w:rsidTr="00F84A6E">
        <w:trPr>
          <w:trHeight w:val="440"/>
        </w:trPr>
        <w:tc>
          <w:tcPr>
            <w:tcW w:w="3075" w:type="dxa"/>
            <w:vAlign w:val="center"/>
          </w:tcPr>
          <w:p w:rsidR="00756D43" w:rsidRPr="00E302AC" w:rsidRDefault="00756D43" w:rsidP="00F84A6E">
            <w:pPr>
              <w:spacing w:before="40" w:after="40" w:line="240" w:lineRule="auto"/>
              <w:ind w:hanging="3"/>
              <w:rPr>
                <w:rFonts w:cs="Times New Roman"/>
                <w:i/>
                <w:color w:val="000000"/>
              </w:rPr>
            </w:pPr>
            <w:r w:rsidRPr="00E302AC">
              <w:rPr>
                <w:rFonts w:cs="Times New Roman"/>
                <w:i/>
                <w:color w:val="000000"/>
              </w:rPr>
              <w:t>Initiation of Sleep/Sleep Efficacy</w:t>
            </w:r>
          </w:p>
        </w:tc>
        <w:tc>
          <w:tcPr>
            <w:tcW w:w="1800" w:type="dxa"/>
            <w:vAlign w:val="center"/>
          </w:tcPr>
          <w:p w:rsidR="00756D43" w:rsidRPr="00E302AC" w:rsidRDefault="00756D43" w:rsidP="00F84A6E">
            <w:pPr>
              <w:spacing w:before="40" w:after="40" w:line="240" w:lineRule="auto"/>
              <w:ind w:firstLine="0"/>
              <w:jc w:val="both"/>
              <w:rPr>
                <w:rFonts w:cs="Times New Roman"/>
                <w:color w:val="000000"/>
              </w:rPr>
            </w:pPr>
            <w:r w:rsidRPr="00E302AC">
              <w:rPr>
                <w:rFonts w:cs="Times New Roman"/>
                <w:color w:val="000000"/>
              </w:rPr>
              <w:t>82 (7)*</w:t>
            </w:r>
          </w:p>
        </w:tc>
        <w:tc>
          <w:tcPr>
            <w:tcW w:w="2610" w:type="dxa"/>
            <w:vAlign w:val="center"/>
          </w:tcPr>
          <w:p w:rsidR="00756D43" w:rsidRPr="00E302AC" w:rsidRDefault="00756D43" w:rsidP="00F84A6E">
            <w:pPr>
              <w:spacing w:before="40" w:after="40" w:line="240" w:lineRule="auto"/>
              <w:ind w:firstLine="72"/>
              <w:rPr>
                <w:rFonts w:cs="Times New Roman"/>
                <w:color w:val="000000"/>
              </w:rPr>
            </w:pPr>
            <w:r w:rsidRPr="00E302AC">
              <w:rPr>
                <w:rFonts w:cs="Times New Roman"/>
                <w:color w:val="000000"/>
              </w:rPr>
              <w:t>B</w:t>
            </w:r>
          </w:p>
        </w:tc>
        <w:tc>
          <w:tcPr>
            <w:tcW w:w="1440" w:type="dxa"/>
            <w:vAlign w:val="center"/>
          </w:tcPr>
          <w:p w:rsidR="00756D43" w:rsidRPr="00E302AC" w:rsidRDefault="00756D43" w:rsidP="00F84A6E">
            <w:pPr>
              <w:spacing w:before="40" w:after="40" w:line="240" w:lineRule="auto"/>
              <w:ind w:firstLine="72"/>
              <w:rPr>
                <w:rFonts w:cs="Times New Roman"/>
                <w:color w:val="000000"/>
              </w:rPr>
            </w:pPr>
            <w:r w:rsidRPr="00E302AC">
              <w:rPr>
                <w:rFonts w:cs="Times New Roman"/>
                <w:color w:val="000000"/>
              </w:rPr>
              <w:t>ND</w:t>
            </w:r>
          </w:p>
        </w:tc>
        <w:tc>
          <w:tcPr>
            <w:tcW w:w="1260" w:type="dxa"/>
            <w:noWrap/>
            <w:vAlign w:val="center"/>
          </w:tcPr>
          <w:p w:rsidR="00756D43" w:rsidRPr="00E302AC" w:rsidRDefault="00756D43" w:rsidP="00F84A6E">
            <w:pPr>
              <w:spacing w:before="40" w:after="40" w:line="240" w:lineRule="auto"/>
              <w:ind w:firstLine="72"/>
              <w:rPr>
                <w:rFonts w:cs="Times New Roman"/>
                <w:color w:val="000000"/>
              </w:rPr>
            </w:pPr>
            <w:r w:rsidRPr="00E302AC">
              <w:rPr>
                <w:rFonts w:cs="Times New Roman"/>
                <w:color w:val="000000"/>
              </w:rPr>
              <w:t>---</w:t>
            </w:r>
          </w:p>
        </w:tc>
        <w:tc>
          <w:tcPr>
            <w:tcW w:w="3150" w:type="dxa"/>
            <w:vAlign w:val="center"/>
          </w:tcPr>
          <w:p w:rsidR="00756D43" w:rsidRPr="00E302AC" w:rsidRDefault="00756D43" w:rsidP="00F84A6E">
            <w:pPr>
              <w:spacing w:before="40" w:after="40" w:line="240" w:lineRule="auto"/>
              <w:ind w:firstLine="72"/>
              <w:rPr>
                <w:rFonts w:cs="Times New Roman"/>
                <w:color w:val="000000"/>
              </w:rPr>
            </w:pPr>
            <w:r w:rsidRPr="00E302AC">
              <w:rPr>
                <w:rFonts w:cs="Times New Roman"/>
                <w:color w:val="000000"/>
              </w:rPr>
              <w:t>Weak, in favor</w:t>
            </w:r>
          </w:p>
        </w:tc>
      </w:tr>
      <w:tr w:rsidR="00756D43" w:rsidRPr="000E248E" w:rsidTr="00756D43">
        <w:trPr>
          <w:trHeight w:val="440"/>
        </w:trPr>
        <w:tc>
          <w:tcPr>
            <w:tcW w:w="3075" w:type="dxa"/>
            <w:vAlign w:val="center"/>
          </w:tcPr>
          <w:p w:rsidR="00756D43" w:rsidRPr="000E248E" w:rsidRDefault="00756D43" w:rsidP="00F84A6E">
            <w:pPr>
              <w:spacing w:before="40" w:after="40" w:line="240" w:lineRule="auto"/>
              <w:ind w:hanging="3"/>
              <w:rPr>
                <w:rFonts w:cs="Times New Roman"/>
                <w:i/>
                <w:color w:val="000000"/>
              </w:rPr>
            </w:pPr>
            <w:r w:rsidRPr="000E248E">
              <w:rPr>
                <w:rFonts w:cs="Times New Roman"/>
                <w:i/>
                <w:color w:val="000000"/>
              </w:rPr>
              <w:t>Occurrence of Daytime Sleepiness/Somnolence</w:t>
            </w:r>
          </w:p>
        </w:tc>
        <w:tc>
          <w:tcPr>
            <w:tcW w:w="1800" w:type="dxa"/>
            <w:vAlign w:val="center"/>
          </w:tcPr>
          <w:p w:rsidR="00756D43" w:rsidRPr="000E248E" w:rsidRDefault="00756D43" w:rsidP="00F84A6E">
            <w:pPr>
              <w:spacing w:before="40" w:after="40" w:line="240" w:lineRule="auto"/>
              <w:ind w:firstLine="0"/>
              <w:jc w:val="both"/>
              <w:rPr>
                <w:rFonts w:cs="Times New Roman"/>
                <w:color w:val="000000"/>
              </w:rPr>
            </w:pPr>
            <w:r w:rsidRPr="000E248E">
              <w:rPr>
                <w:rFonts w:cs="Times New Roman"/>
                <w:color w:val="000000"/>
              </w:rPr>
              <w:t>108 (5)*</w:t>
            </w:r>
          </w:p>
        </w:tc>
        <w:tc>
          <w:tcPr>
            <w:tcW w:w="2610" w:type="dxa"/>
            <w:vAlign w:val="center"/>
          </w:tcPr>
          <w:p w:rsidR="00756D43" w:rsidRPr="00BB5FA2" w:rsidRDefault="00756D43" w:rsidP="00F84A6E">
            <w:pPr>
              <w:spacing w:before="40" w:after="40" w:line="240" w:lineRule="auto"/>
              <w:ind w:firstLine="72"/>
              <w:rPr>
                <w:rFonts w:cs="Times New Roman"/>
                <w:color w:val="000000"/>
              </w:rPr>
            </w:pPr>
            <w:r w:rsidRPr="00BB5FA2">
              <w:rPr>
                <w:rFonts w:cs="Times New Roman"/>
                <w:color w:val="000000"/>
              </w:rPr>
              <w:t>B</w:t>
            </w:r>
          </w:p>
        </w:tc>
        <w:tc>
          <w:tcPr>
            <w:tcW w:w="1440" w:type="dxa"/>
            <w:vAlign w:val="center"/>
          </w:tcPr>
          <w:p w:rsidR="00756D43" w:rsidRPr="00BB5FA2" w:rsidRDefault="00756D43" w:rsidP="00F84A6E">
            <w:pPr>
              <w:spacing w:before="40" w:after="40" w:line="240" w:lineRule="auto"/>
              <w:ind w:firstLine="72"/>
              <w:rPr>
                <w:rFonts w:cs="Times New Roman"/>
                <w:color w:val="000000"/>
              </w:rPr>
            </w:pPr>
            <w:r w:rsidRPr="00BB5FA2">
              <w:rPr>
                <w:rFonts w:cs="Times New Roman"/>
                <w:color w:val="000000"/>
              </w:rPr>
              <w:t>ND</w:t>
            </w:r>
          </w:p>
        </w:tc>
        <w:tc>
          <w:tcPr>
            <w:tcW w:w="1260" w:type="dxa"/>
            <w:noWrap/>
            <w:vAlign w:val="center"/>
          </w:tcPr>
          <w:p w:rsidR="00756D43" w:rsidRPr="009745D8" w:rsidRDefault="00756D43" w:rsidP="00F84A6E">
            <w:pPr>
              <w:spacing w:before="40" w:after="40" w:line="240" w:lineRule="auto"/>
              <w:ind w:firstLine="72"/>
              <w:rPr>
                <w:rFonts w:cs="Times New Roman"/>
                <w:color w:val="000000"/>
              </w:rPr>
            </w:pPr>
            <w:r w:rsidRPr="009745D8">
              <w:rPr>
                <w:rFonts w:cs="Times New Roman"/>
                <w:color w:val="000000"/>
              </w:rPr>
              <w:t>---</w:t>
            </w:r>
          </w:p>
        </w:tc>
        <w:tc>
          <w:tcPr>
            <w:tcW w:w="3150" w:type="dxa"/>
            <w:vAlign w:val="center"/>
          </w:tcPr>
          <w:p w:rsidR="00756D43" w:rsidRPr="000E248E" w:rsidRDefault="00756D43" w:rsidP="00F84A6E">
            <w:pPr>
              <w:spacing w:before="40" w:after="40" w:line="240" w:lineRule="auto"/>
              <w:ind w:firstLine="72"/>
              <w:rPr>
                <w:rFonts w:cs="Times New Roman"/>
                <w:color w:val="000000"/>
              </w:rPr>
            </w:pPr>
            <w:r w:rsidRPr="000E248E">
              <w:rPr>
                <w:rFonts w:cs="Times New Roman"/>
              </w:rPr>
              <w:t>Weak, in favor</w:t>
            </w:r>
          </w:p>
        </w:tc>
      </w:tr>
      <w:tr w:rsidR="00756D43" w:rsidRPr="00E302AC" w:rsidTr="00756D43">
        <w:trPr>
          <w:trHeight w:val="422"/>
        </w:trPr>
        <w:tc>
          <w:tcPr>
            <w:tcW w:w="3075" w:type="dxa"/>
            <w:tcBorders>
              <w:bottom w:val="single" w:sz="12" w:space="0" w:color="auto"/>
            </w:tcBorders>
            <w:vAlign w:val="center"/>
          </w:tcPr>
          <w:p w:rsidR="00756D43" w:rsidRPr="00E302AC" w:rsidRDefault="00756D43" w:rsidP="00F84A6E">
            <w:pPr>
              <w:spacing w:before="40" w:after="40" w:line="240" w:lineRule="auto"/>
              <w:ind w:hanging="3"/>
              <w:rPr>
                <w:rFonts w:cs="Times New Roman"/>
                <w:i/>
                <w:color w:val="000000"/>
              </w:rPr>
            </w:pPr>
            <w:r w:rsidRPr="00E302AC">
              <w:rPr>
                <w:rFonts w:cs="Times New Roman"/>
                <w:i/>
                <w:color w:val="000000"/>
              </w:rPr>
              <w:t>Phase Shift Changes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:rsidR="00756D43" w:rsidRPr="00E302AC" w:rsidRDefault="00756D43" w:rsidP="00F84A6E">
            <w:pPr>
              <w:spacing w:before="40" w:after="40" w:line="240" w:lineRule="auto"/>
              <w:ind w:firstLine="0"/>
              <w:jc w:val="both"/>
              <w:rPr>
                <w:rFonts w:cs="Times New Roman"/>
                <w:color w:val="000000"/>
              </w:rPr>
            </w:pPr>
            <w:r w:rsidRPr="00E302AC">
              <w:rPr>
                <w:rFonts w:cs="Times New Roman"/>
                <w:color w:val="000000"/>
              </w:rPr>
              <w:t>49 (5)</w:t>
            </w:r>
          </w:p>
        </w:tc>
        <w:tc>
          <w:tcPr>
            <w:tcW w:w="2610" w:type="dxa"/>
            <w:tcBorders>
              <w:bottom w:val="single" w:sz="12" w:space="0" w:color="auto"/>
            </w:tcBorders>
            <w:vAlign w:val="center"/>
          </w:tcPr>
          <w:p w:rsidR="00756D43" w:rsidRPr="00E302AC" w:rsidRDefault="00756D43" w:rsidP="00F84A6E">
            <w:pPr>
              <w:spacing w:before="40" w:after="40" w:line="240" w:lineRule="auto"/>
              <w:ind w:firstLine="72"/>
              <w:rPr>
                <w:rFonts w:cs="Times New Roman"/>
                <w:color w:val="000000"/>
              </w:rPr>
            </w:pPr>
            <w:r w:rsidRPr="00E302AC">
              <w:rPr>
                <w:rFonts w:cs="Times New Roman"/>
                <w:color w:val="000000"/>
              </w:rPr>
              <w:t>C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:rsidR="00756D43" w:rsidRPr="00E302AC" w:rsidRDefault="00756D43" w:rsidP="00F84A6E">
            <w:pPr>
              <w:spacing w:before="40" w:after="40" w:line="240" w:lineRule="auto"/>
              <w:ind w:firstLine="72"/>
              <w:rPr>
                <w:rFonts w:cs="Times New Roman"/>
                <w:color w:val="000000"/>
              </w:rPr>
            </w:pPr>
            <w:r w:rsidRPr="00E302AC">
              <w:rPr>
                <w:rFonts w:cs="Times New Roman"/>
                <w:color w:val="000000"/>
              </w:rPr>
              <w:t>ND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noWrap/>
            <w:vAlign w:val="center"/>
          </w:tcPr>
          <w:p w:rsidR="00756D43" w:rsidRPr="00E302AC" w:rsidRDefault="00756D43" w:rsidP="00F84A6E">
            <w:pPr>
              <w:spacing w:before="40" w:after="40" w:line="240" w:lineRule="auto"/>
              <w:ind w:firstLine="72"/>
              <w:rPr>
                <w:rFonts w:cs="Times New Roman"/>
                <w:color w:val="000000"/>
              </w:rPr>
            </w:pPr>
            <w:r w:rsidRPr="00E302AC">
              <w:rPr>
                <w:rFonts w:cs="Times New Roman"/>
                <w:color w:val="000000"/>
              </w:rPr>
              <w:t>---</w:t>
            </w:r>
          </w:p>
        </w:tc>
        <w:tc>
          <w:tcPr>
            <w:tcW w:w="3150" w:type="dxa"/>
            <w:tcBorders>
              <w:bottom w:val="single" w:sz="12" w:space="0" w:color="auto"/>
            </w:tcBorders>
            <w:vAlign w:val="center"/>
          </w:tcPr>
          <w:p w:rsidR="00756D43" w:rsidRPr="00E302AC" w:rsidRDefault="00756D43" w:rsidP="00F84A6E">
            <w:pPr>
              <w:spacing w:before="40" w:after="40" w:line="240" w:lineRule="auto"/>
              <w:ind w:firstLine="72"/>
              <w:rPr>
                <w:rFonts w:cs="Times New Roman"/>
                <w:color w:val="000000"/>
              </w:rPr>
            </w:pPr>
            <w:r w:rsidRPr="00E302AC">
              <w:rPr>
                <w:rFonts w:cs="Times New Roman"/>
                <w:color w:val="000000"/>
              </w:rPr>
              <w:t>None</w:t>
            </w:r>
          </w:p>
        </w:tc>
      </w:tr>
    </w:tbl>
    <w:p w:rsidR="00756D43" w:rsidRDefault="00756D43" w:rsidP="00756D43">
      <w:pPr>
        <w:ind w:firstLine="0"/>
        <w:rPr>
          <w:rFonts w:cs="Times New Roman"/>
        </w:rPr>
      </w:pPr>
      <w:r w:rsidRPr="00E302AC">
        <w:rPr>
          <w:rFonts w:cs="Times New Roman"/>
        </w:rPr>
        <w:t xml:space="preserve">**2 </w:t>
      </w:r>
      <w:proofErr w:type="gramStart"/>
      <w:r w:rsidRPr="00E302AC">
        <w:rPr>
          <w:rFonts w:cs="Times New Roman"/>
        </w:rPr>
        <w:t>Studies</w:t>
      </w:r>
      <w:proofErr w:type="gramEnd"/>
      <w:r>
        <w:rPr>
          <w:rFonts w:cs="Times New Roman"/>
        </w:rPr>
        <w:fldChar w:fldCharType="begin">
          <w:fldData xml:space="preserve">PEVuZE5vdGU+PENpdGU+PEF1dGhvcj5KYW1lczwvQXV0aG9yPjxZZWFyPjE5ODc8L1llYXI+PFJl
Y051bT40NjwvUmVjTnVtPjxEaXNwbGF5VGV4dD5bNDYsIDU0XTwvRGlzcGxheVRleHQ+PHJlY29y
ZD48cmVjLW51bWJlcj40NjwvcmVjLW51bWJlcj48Zm9yZWlnbi1rZXlzPjxrZXkgYXBwPSJFTiIg
ZGItaWQ9IjB4eHoyZnBhY2QycHI5ZXhhYWN4cGRzYXpkOWU5ZndlZndhdCI+NDY8L2tleT48L2Zv
cmVpZ24ta2V5cz48cmVmLXR5cGUgbmFtZT0iSm91cm5hbCBBcnRpY2xlIj4xNzwvcmVmLXR5cGU+
PGNvbnRyaWJ1dG9ycz48YXV0aG9ycz48YXV0aG9yPkphbWVzLCBTdGV2ZW4gUC48L2F1dGhvcj48
YXV0aG9yPk1lbmRlbHNvbiwgV2FsbGFjZSBCLjwvYXV0aG9yPjxhdXRob3I+U2FjaywgRGF2aWQg
QS48L2F1dGhvcj48YXV0aG9yPlJvc2VudGhhbCwgTm9ybWFuIEUuPC9hdXRob3I+PGF1dGhvcj5l
dCBhbC4sPC9hdXRob3I+PC9hdXRob3JzPjwvY29udHJpYnV0b3JzPjx0aXRsZXM+PHRpdGxlPlRo
ZSBlZmZlY3Qgb2YgbWVsYXRvbmluIG9uIG5vcm1hbCBzbGVlcDwvdGl0bGU+PHNlY29uZGFyeS10
aXRsZT5OZXVyb3BzeWNob3BoYXJtYWNvbG9neTwvc2Vjb25kYXJ5LXRpdGxlPjwvdGl0bGVzPjxw
ZXJpb2RpY2FsPjxmdWxsLXRpdGxlPk5ldXJvcHN5Y2hvcGhhcm1hY29sb2d5PC9mdWxsLXRpdGxl
PjwvcGVyaW9kaWNhbD48cGFnZXM+NDEtNDQ8L3BhZ2VzPjx2b2x1bWU+MTwvdm9sdW1lPjxudW1i
ZXI+MTwvbnVtYmVyPjxrZXl3b3Jkcz48a2V5d29yZD5tZWxhdG9uaW4gZG9zYWdlLCBzbGVlcCBF
RUcgJmFtcDsgb25zZXQgJmFtcDsgZHVyYXRpb24gJmFtcDsgbmV4dCBkYXkgbW9vZCAmYW1wOyBh
bGVydG5lc3MsIDIx4oCTNDAgeXIgb2xkczwva2V5d29yZD48L2tleXdvcmRzPjxkYXRlcz48eWVh
cj4xOTg3PC95ZWFyPjwvZGF0ZXM+PHB1Yi1sb2NhdGlvbj5Vbml0ZWQgS2luZ2RvbTwvcHViLWxv
Y2F0aW9uPjxwdWJsaXNoZXI+TmF0dXJlIFB1Ymxpc2hpbmcgR3JvdXA8L3B1Ymxpc2hlcj48aXNi
bj4xNzQwLTYzNFgoRWxlY3Ryb25pYyk7MDg5My0xMzNYKFByaW50KTwvaXNibj48dXJscz48L3Vy
bHM+PGVsZWN0cm9uaWMtcmVzb3VyY2UtbnVtPjEwLjEwMTYvMDg5My0xMzN4KDg3KTkwMDA4LXg8
L2VsZWN0cm9uaWMtcmVzb3VyY2UtbnVtPjwvcmVjb3JkPjwvQ2l0ZT48Q2l0ZT48QXV0aG9yPk5h
dmU8L0F1dGhvcj48WWVhcj4xOTk2PC9ZZWFyPjxSZWNOdW0+NTQ8L1JlY051bT48cmVjb3JkPjxy
ZWMtbnVtYmVyPjU0PC9yZWMtbnVtYmVyPjxmb3JlaWduLWtleXM+PGtleSBhcHA9IkVOIiBkYi1p
ZD0iMHh4ejJmcGFjZDJwcjlleGFhY3hwZHNhemQ5ZTlmd2Vmd2F0Ij41NDwva2V5PjwvZm9yZWln
bi1rZXlzPjxyZWYtdHlwZSBuYW1lPSJKb3VybmFsIEFydGljbGUiPjE3PC9yZWYtdHlwZT48Y29u
dHJpYnV0b3JzPjxhdXRob3JzPjxhdXRob3I+TmF2ZSwgUi48L2F1dGhvcj48YXV0aG9yPkhlcmVy
LCBQLjwvYXV0aG9yPjxhdXRob3I+SGFpbW92LCBJLjwvYXV0aG9yPjxhdXRob3I+U2hsaXRuZXIs
IEEuPC9hdXRob3I+PGF1dGhvcj5MYXZpZSwgUC48L2F1dGhvcj48L2F1dGhvcnM+PC9jb250cmli
dXRvcnM+PGF1dGgtYWRkcmVzcz5TbGVlcCBMYWJvcmF0b3J5LCBCcnVjZSBSYXBwYXBvcnQgRmFj
dWx0eSBvZiBNZWRpY2luZSwgVGVjaG5pb24tSXNyYWVsIEluc3RpdHV0ZSBvZiBUZWNobm9sb2d5
LCBIYWlmYSwgSXNyYWVsLjwvYXV0aC1hZGRyZXNzPjx0aXRsZXM+PHRpdGxlPkh5cG5vdGljIGFu
ZCBoeXBvdGhlcm1pYyBlZmZlY3RzIG9mIG1lbGF0b25pbiBvbiBkYXl0aW1lIHNsZWVwIGluIGh1
bWFuczogbGFjayBvZiBhbnRhZ29uaXNtIGJ5IGZsdW1hemVuaWw8L3RpdGxlPjxzZWNvbmRhcnkt
dGl0bGU+TmV1cm9zY2kgTGV0dDwvc2Vjb25kYXJ5LXRpdGxlPjwvdGl0bGVzPjxwZXJpb2RpY2Fs
PjxmdWxsLXRpdGxlPk5ldXJvc2NpIExldHQ8L2Z1bGwtdGl0bGU+PC9wZXJpb2RpY2FsPjxwYWdl
cz4xMjMtNjwvcGFnZXM+PHZvbHVtZT4yMTQ8L3ZvbHVtZT48bnVtYmVyPjItMzwvbnVtYmVyPjxl
ZGl0aW9uPjE5OTYvMDgvMjM8L2VkaXRpb24+PGtleXdvcmRzPjxrZXl3b3JkPkFkdWx0PC9rZXl3
b3JkPjxrZXl3b3JkPkJvZHkgVGVtcGVyYXR1cmUvIGRydWcgZWZmZWN0czwva2V5d29yZD48a2V5
d29yZD5Eb3VibGUtQmxpbmQgTWV0aG9kPC9rZXl3b3JkPjxrZXl3b3JkPkVsZWN0cm9lbmNlcGhh
bG9ncmFwaHkvZHJ1ZyBlZmZlY3RzPC9rZXl3b3JkPjxrZXl3b3JkPkZsdW1hemVuaWwvIHBoYXJt
YWNvbG9neTwva2V5d29yZD48a2V5d29yZD5HQUJBIE1vZHVsYXRvcnMvIHBoYXJtYWNvbG9neTwv
a2V5d29yZD48a2V5d29yZD5IdW1hbnM8L2tleXdvcmQ+PGtleXdvcmQ+SHlwbm90aWNzIGFuZCBT
ZWRhdGl2ZXMvYW50YWdvbmlzdHMgJmFtcDsgaW5oaWJpdG9ycy8gcGhhcm1hY29sb2d5PC9rZXl3
b3JkPjxrZXl3b3JkPk1hbGU8L2tleXdvcmQ+PGtleXdvcmQ+TWVsYXRvbmluL2FudGFnb25pc3Rz
ICZhbXA7IGluaGliaXRvcnMvIHBoYXJtYWNvbG9neTwva2V5d29yZD48a2V5d29yZD5Nb3ZlbWVu
dC9kcnVnIGVmZmVjdHMvcGh5c2lvbG9neTwva2V5d29yZD48a2V5d29yZD5Qb2x5c29tbm9ncmFw
aHk8L2tleXdvcmQ+PGtleXdvcmQ+U2xlZXAvIGRydWcgZWZmZWN0czwva2V5d29yZD48a2V5d29y
ZD5TbGVlcCBTdGFnZXMvZHJ1ZyBlZmZlY3RzPC9rZXl3b3JkPjwva2V5d29yZHM+PGRhdGVzPjx5
ZWFyPjE5OTY8L3llYXI+PHB1Yi1kYXRlcz48ZGF0ZT5BdWcgMjM8L2RhdGU+PC9wdWItZGF0ZXM+
PC9kYXRlcz48aXNibj4wMzA0LTM5NDAgKFByaW50KSYjeEQ7MDMwNC0zOTQwIChMaW5raW5nKTwv
aXNibj48YWNjZXNzaW9uLW51bT44ODc4MDk5PC9hY2Nlc3Npb24tbnVtPjx1cmxzPjwvdXJscz48
cmVtb3RlLWRhdGFiYXNlLXByb3ZpZGVyPk5MTTwvcmVtb3RlLWRhdGFiYXNlLXByb3ZpZGVyPjxs
YW5ndWFnZT5lbmc8L2xhbmd1YWdlPjwvcmVjb3JkPjwvQ2l0ZT48L0VuZE5vdGU+
</w:fldData>
        </w:fldChar>
      </w:r>
      <w:r>
        <w:rPr>
          <w:rFonts w:cs="Times New Roman"/>
        </w:rPr>
        <w:instrText xml:space="preserve"> ADDIN EN.CITE </w:instrText>
      </w:r>
      <w:r>
        <w:rPr>
          <w:rFonts w:cs="Times New Roman"/>
        </w:rPr>
        <w:fldChar w:fldCharType="begin">
          <w:fldData xml:space="preserve">PEVuZE5vdGU+PENpdGU+PEF1dGhvcj5KYW1lczwvQXV0aG9yPjxZZWFyPjE5ODc8L1llYXI+PFJl
Y051bT40NjwvUmVjTnVtPjxEaXNwbGF5VGV4dD5bNDYsIDU0XTwvRGlzcGxheVRleHQ+PHJlY29y
ZD48cmVjLW51bWJlcj40NjwvcmVjLW51bWJlcj48Zm9yZWlnbi1rZXlzPjxrZXkgYXBwPSJFTiIg
ZGItaWQ9IjB4eHoyZnBhY2QycHI5ZXhhYWN4cGRzYXpkOWU5ZndlZndhdCI+NDY8L2tleT48L2Zv
cmVpZ24ta2V5cz48cmVmLXR5cGUgbmFtZT0iSm91cm5hbCBBcnRpY2xlIj4xNzwvcmVmLXR5cGU+
PGNvbnRyaWJ1dG9ycz48YXV0aG9ycz48YXV0aG9yPkphbWVzLCBTdGV2ZW4gUC48L2F1dGhvcj48
YXV0aG9yPk1lbmRlbHNvbiwgV2FsbGFjZSBCLjwvYXV0aG9yPjxhdXRob3I+U2FjaywgRGF2aWQg
QS48L2F1dGhvcj48YXV0aG9yPlJvc2VudGhhbCwgTm9ybWFuIEUuPC9hdXRob3I+PGF1dGhvcj5l
dCBhbC4sPC9hdXRob3I+PC9hdXRob3JzPjwvY29udHJpYnV0b3JzPjx0aXRsZXM+PHRpdGxlPlRo
ZSBlZmZlY3Qgb2YgbWVsYXRvbmluIG9uIG5vcm1hbCBzbGVlcDwvdGl0bGU+PHNlY29uZGFyeS10
aXRsZT5OZXVyb3BzeWNob3BoYXJtYWNvbG9neTwvc2Vjb25kYXJ5LXRpdGxlPjwvdGl0bGVzPjxw
ZXJpb2RpY2FsPjxmdWxsLXRpdGxlPk5ldXJvcHN5Y2hvcGhhcm1hY29sb2d5PC9mdWxsLXRpdGxl
PjwvcGVyaW9kaWNhbD48cGFnZXM+NDEtNDQ8L3BhZ2VzPjx2b2x1bWU+MTwvdm9sdW1lPjxudW1i
ZXI+MTwvbnVtYmVyPjxrZXl3b3Jkcz48a2V5d29yZD5tZWxhdG9uaW4gZG9zYWdlLCBzbGVlcCBF
RUcgJmFtcDsgb25zZXQgJmFtcDsgZHVyYXRpb24gJmFtcDsgbmV4dCBkYXkgbW9vZCAmYW1wOyBh
bGVydG5lc3MsIDIx4oCTNDAgeXIgb2xkczwva2V5d29yZD48L2tleXdvcmRzPjxkYXRlcz48eWVh
cj4xOTg3PC95ZWFyPjwvZGF0ZXM+PHB1Yi1sb2NhdGlvbj5Vbml0ZWQgS2luZ2RvbTwvcHViLWxv
Y2F0aW9uPjxwdWJsaXNoZXI+TmF0dXJlIFB1Ymxpc2hpbmcgR3JvdXA8L3B1Ymxpc2hlcj48aXNi
bj4xNzQwLTYzNFgoRWxlY3Ryb25pYyk7MDg5My0xMzNYKFByaW50KTwvaXNibj48dXJscz48L3Vy
bHM+PGVsZWN0cm9uaWMtcmVzb3VyY2UtbnVtPjEwLjEwMTYvMDg5My0xMzN4KDg3KTkwMDA4LXg8
L2VsZWN0cm9uaWMtcmVzb3VyY2UtbnVtPjwvcmVjb3JkPjwvQ2l0ZT48Q2l0ZT48QXV0aG9yPk5h
dmU8L0F1dGhvcj48WWVhcj4xOTk2PC9ZZWFyPjxSZWNOdW0+NTQ8L1JlY051bT48cmVjb3JkPjxy
ZWMtbnVtYmVyPjU0PC9yZWMtbnVtYmVyPjxmb3JlaWduLWtleXM+PGtleSBhcHA9IkVOIiBkYi1p
ZD0iMHh4ejJmcGFjZDJwcjlleGFhY3hwZHNhemQ5ZTlmd2Vmd2F0Ij41NDwva2V5PjwvZm9yZWln
bi1rZXlzPjxyZWYtdHlwZSBuYW1lPSJKb3VybmFsIEFydGljbGUiPjE3PC9yZWYtdHlwZT48Y29u
dHJpYnV0b3JzPjxhdXRob3JzPjxhdXRob3I+TmF2ZSwgUi48L2F1dGhvcj48YXV0aG9yPkhlcmVy
LCBQLjwvYXV0aG9yPjxhdXRob3I+SGFpbW92LCBJLjwvYXV0aG9yPjxhdXRob3I+U2hsaXRuZXIs
IEEuPC9hdXRob3I+PGF1dGhvcj5MYXZpZSwgUC48L2F1dGhvcj48L2F1dGhvcnM+PC9jb250cmli
dXRvcnM+PGF1dGgtYWRkcmVzcz5TbGVlcCBMYWJvcmF0b3J5LCBCcnVjZSBSYXBwYXBvcnQgRmFj
dWx0eSBvZiBNZWRpY2luZSwgVGVjaG5pb24tSXNyYWVsIEluc3RpdHV0ZSBvZiBUZWNobm9sb2d5
LCBIYWlmYSwgSXNyYWVsLjwvYXV0aC1hZGRyZXNzPjx0aXRsZXM+PHRpdGxlPkh5cG5vdGljIGFu
ZCBoeXBvdGhlcm1pYyBlZmZlY3RzIG9mIG1lbGF0b25pbiBvbiBkYXl0aW1lIHNsZWVwIGluIGh1
bWFuczogbGFjayBvZiBhbnRhZ29uaXNtIGJ5IGZsdW1hemVuaWw8L3RpdGxlPjxzZWNvbmRhcnkt
dGl0bGU+TmV1cm9zY2kgTGV0dDwvc2Vjb25kYXJ5LXRpdGxlPjwvdGl0bGVzPjxwZXJpb2RpY2Fs
PjxmdWxsLXRpdGxlPk5ldXJvc2NpIExldHQ8L2Z1bGwtdGl0bGU+PC9wZXJpb2RpY2FsPjxwYWdl
cz4xMjMtNjwvcGFnZXM+PHZvbHVtZT4yMTQ8L3ZvbHVtZT48bnVtYmVyPjItMzwvbnVtYmVyPjxl
ZGl0aW9uPjE5OTYvMDgvMjM8L2VkaXRpb24+PGtleXdvcmRzPjxrZXl3b3JkPkFkdWx0PC9rZXl3
b3JkPjxrZXl3b3JkPkJvZHkgVGVtcGVyYXR1cmUvIGRydWcgZWZmZWN0czwva2V5d29yZD48a2V5
d29yZD5Eb3VibGUtQmxpbmQgTWV0aG9kPC9rZXl3b3JkPjxrZXl3b3JkPkVsZWN0cm9lbmNlcGhh
bG9ncmFwaHkvZHJ1ZyBlZmZlY3RzPC9rZXl3b3JkPjxrZXl3b3JkPkZsdW1hemVuaWwvIHBoYXJt
YWNvbG9neTwva2V5d29yZD48a2V5d29yZD5HQUJBIE1vZHVsYXRvcnMvIHBoYXJtYWNvbG9neTwv
a2V5d29yZD48a2V5d29yZD5IdW1hbnM8L2tleXdvcmQ+PGtleXdvcmQ+SHlwbm90aWNzIGFuZCBT
ZWRhdGl2ZXMvYW50YWdvbmlzdHMgJmFtcDsgaW5oaWJpdG9ycy8gcGhhcm1hY29sb2d5PC9rZXl3
b3JkPjxrZXl3b3JkPk1hbGU8L2tleXdvcmQ+PGtleXdvcmQ+TWVsYXRvbmluL2FudGFnb25pc3Rz
ICZhbXA7IGluaGliaXRvcnMvIHBoYXJtYWNvbG9neTwva2V5d29yZD48a2V5d29yZD5Nb3ZlbWVu
dC9kcnVnIGVmZmVjdHMvcGh5c2lvbG9neTwva2V5d29yZD48a2V5d29yZD5Qb2x5c29tbm9ncmFw
aHk8L2tleXdvcmQ+PGtleXdvcmQ+U2xlZXAvIGRydWcgZWZmZWN0czwva2V5d29yZD48a2V5d29y
ZD5TbGVlcCBTdGFnZXMvZHJ1ZyBlZmZlY3RzPC9rZXl3b3JkPjwva2V5d29yZHM+PGRhdGVzPjx5
ZWFyPjE5OTY8L3llYXI+PHB1Yi1kYXRlcz48ZGF0ZT5BdWcgMjM8L2RhdGU+PC9wdWItZGF0ZXM+
PC9kYXRlcz48aXNibj4wMzA0LTM5NDAgKFByaW50KSYjeEQ7MDMwNC0zOTQwIChMaW5raW5nKTwv
aXNibj48YWNjZXNzaW9uLW51bT44ODc4MDk5PC9hY2Nlc3Npb24tbnVtPjx1cmxzPjwvdXJscz48
cmVtb3RlLWRhdGFiYXNlLXByb3ZpZGVyPk5MTTwvcmVtb3RlLWRhdGFiYXNlLXByb3ZpZGVyPjxs
YW5ndWFnZT5lbmc8L2xhbmd1YWdlPjwvcmVjb3JkPjwvQ2l0ZT48L0VuZE5vdGU+
</w:fldData>
        </w:fldChar>
      </w:r>
      <w:r>
        <w:rPr>
          <w:rFonts w:cs="Times New Roman"/>
        </w:rPr>
        <w:instrText xml:space="preserve"> ADDIN EN.CITE.DATA </w:instrText>
      </w:r>
      <w:r>
        <w:rPr>
          <w:rFonts w:cs="Times New Roman"/>
        </w:rPr>
      </w:r>
      <w:r>
        <w:rPr>
          <w:rFonts w:cs="Times New Roman"/>
        </w:rPr>
        <w:fldChar w:fldCharType="end"/>
      </w:r>
      <w:r>
        <w:rPr>
          <w:rFonts w:cs="Times New Roman"/>
        </w:rPr>
        <w:fldChar w:fldCharType="separate"/>
      </w:r>
      <w:r>
        <w:rPr>
          <w:rFonts w:cs="Times New Roman"/>
          <w:noProof/>
        </w:rPr>
        <w:t>[</w:t>
      </w:r>
      <w:hyperlink w:anchor="_ENREF_46" w:tooltip="James, 1987 #46" w:history="1">
        <w:r>
          <w:rPr>
            <w:rFonts w:cs="Times New Roman"/>
            <w:noProof/>
          </w:rPr>
          <w:t>46</w:t>
        </w:r>
      </w:hyperlink>
      <w:r>
        <w:rPr>
          <w:rFonts w:cs="Times New Roman"/>
          <w:noProof/>
        </w:rPr>
        <w:t xml:space="preserve">, </w:t>
      </w:r>
      <w:hyperlink w:anchor="_ENREF_54" w:tooltip="Nave, 1996 #54" w:history="1">
        <w:r>
          <w:rPr>
            <w:rFonts w:cs="Times New Roman"/>
            <w:noProof/>
          </w:rPr>
          <w:t>54</w:t>
        </w:r>
      </w:hyperlink>
      <w:r>
        <w:rPr>
          <w:rFonts w:cs="Times New Roman"/>
          <w:noProof/>
        </w:rPr>
        <w:t>]</w:t>
      </w:r>
      <w:r>
        <w:rPr>
          <w:rFonts w:cs="Times New Roman"/>
        </w:rPr>
        <w:fldChar w:fldCharType="end"/>
      </w:r>
      <w:r w:rsidRPr="00E302AC">
        <w:rPr>
          <w:rFonts w:cs="Times New Roman"/>
        </w:rPr>
        <w:t xml:space="preserve"> mentioned in both groups.</w:t>
      </w:r>
    </w:p>
    <w:p w:rsidR="00756D43" w:rsidRPr="00E302AC" w:rsidRDefault="00756D43" w:rsidP="00756D43">
      <w:pPr>
        <w:ind w:firstLine="0"/>
        <w:rPr>
          <w:rFonts w:cs="Times New Roman"/>
        </w:rPr>
      </w:pPr>
      <w:r w:rsidRPr="00E302AC">
        <w:rPr>
          <w:rFonts w:cs="Times New Roman"/>
        </w:rPr>
        <w:t>There are four major domains that comprise the core of the modified GRADE methodology:</w:t>
      </w:r>
    </w:p>
    <w:p w:rsidR="00756D43" w:rsidRPr="00E302AC" w:rsidRDefault="00756D43" w:rsidP="00756D43">
      <w:pPr>
        <w:pStyle w:val="ListParagraph"/>
        <w:numPr>
          <w:ilvl w:val="0"/>
          <w:numId w:val="1"/>
        </w:numPr>
        <w:ind w:hanging="720"/>
        <w:contextualSpacing/>
        <w:rPr>
          <w:rFonts w:cs="Times New Roman"/>
        </w:rPr>
      </w:pPr>
      <w:r w:rsidRPr="00E302AC">
        <w:rPr>
          <w:rFonts w:cs="Times New Roman"/>
          <w:u w:val="single"/>
        </w:rPr>
        <w:t xml:space="preserve">Confidence in the </w:t>
      </w:r>
      <w:r>
        <w:rPr>
          <w:rFonts w:cs="Times New Roman"/>
          <w:u w:val="single"/>
        </w:rPr>
        <w:t>e</w:t>
      </w:r>
      <w:r w:rsidRPr="00E302AC">
        <w:rPr>
          <w:rFonts w:cs="Times New Roman"/>
          <w:u w:val="single"/>
        </w:rPr>
        <w:t xml:space="preserve">stimate of the </w:t>
      </w:r>
      <w:r>
        <w:rPr>
          <w:rFonts w:cs="Times New Roman"/>
          <w:u w:val="single"/>
        </w:rPr>
        <w:t>e</w:t>
      </w:r>
      <w:r w:rsidRPr="00E302AC">
        <w:rPr>
          <w:rFonts w:cs="Times New Roman"/>
          <w:u w:val="single"/>
        </w:rPr>
        <w:t>ffect</w:t>
      </w:r>
      <w:r w:rsidRPr="00E302AC">
        <w:rPr>
          <w:rFonts w:cs="Times New Roman"/>
        </w:rPr>
        <w:t xml:space="preserve"> was categorized into the following groups using pre-defined criteria: (1) </w:t>
      </w:r>
      <w:r w:rsidRPr="00E302AC">
        <w:rPr>
          <w:rFonts w:cs="Times New Roman"/>
          <w:i/>
        </w:rPr>
        <w:t>A (High; further research is very unlikely to change confidence in the estimate of effect):</w:t>
      </w:r>
      <w:r w:rsidRPr="00E302AC">
        <w:rPr>
          <w:rFonts w:cs="Times New Roman"/>
        </w:rPr>
        <w:t xml:space="preserve"> several high quality RCTs with consistent results or in special cases, or one large, high quality, multi-center RCT; (2) </w:t>
      </w:r>
      <w:r w:rsidRPr="00E302AC">
        <w:rPr>
          <w:rFonts w:cs="Times New Roman"/>
          <w:i/>
        </w:rPr>
        <w:t>B (Moderate; further research is likely to have an important impact on confidence in the estimate of effect and may change th</w:t>
      </w:r>
      <w:bookmarkStart w:id="0" w:name="_GoBack"/>
      <w:bookmarkEnd w:id="0"/>
      <w:r w:rsidRPr="00E302AC">
        <w:rPr>
          <w:rFonts w:cs="Times New Roman"/>
          <w:i/>
        </w:rPr>
        <w:t xml:space="preserve">e estimate): </w:t>
      </w:r>
      <w:r w:rsidRPr="00E302AC">
        <w:rPr>
          <w:rFonts w:cs="Times New Roman"/>
        </w:rPr>
        <w:t>one high quality RCT or several RCTs with some limitations</w:t>
      </w:r>
      <w:r w:rsidRPr="00E302AC">
        <w:rPr>
          <w:rFonts w:cs="Times New Roman"/>
          <w:i/>
        </w:rPr>
        <w:t>;</w:t>
      </w:r>
      <w:r w:rsidRPr="00E302AC">
        <w:rPr>
          <w:rFonts w:cs="Times New Roman"/>
        </w:rPr>
        <w:t xml:space="preserve"> (3) </w:t>
      </w:r>
      <w:r w:rsidRPr="00E302AC">
        <w:rPr>
          <w:rFonts w:cs="Times New Roman"/>
          <w:i/>
        </w:rPr>
        <w:t xml:space="preserve">C (Low; further research is very likely to have an important impact on confidence in the estimate of </w:t>
      </w:r>
      <w:r w:rsidRPr="00E302AC">
        <w:rPr>
          <w:rFonts w:cs="Times New Roman"/>
          <w:i/>
        </w:rPr>
        <w:lastRenderedPageBreak/>
        <w:t>effect and is likely to change the estimate):</w:t>
      </w:r>
      <w:r w:rsidRPr="00E302AC">
        <w:rPr>
          <w:rFonts w:cs="Times New Roman"/>
        </w:rPr>
        <w:t xml:space="preserve"> one or more RCTs with severe limitations; (4) </w:t>
      </w:r>
      <w:r w:rsidRPr="00E302AC">
        <w:rPr>
          <w:rFonts w:cs="Times New Roman"/>
          <w:i/>
        </w:rPr>
        <w:t xml:space="preserve">D (Very Low; any estimate of effect is very uncertain): </w:t>
      </w:r>
      <w:r w:rsidRPr="00E302AC">
        <w:rPr>
          <w:rFonts w:cs="Times New Roman"/>
        </w:rPr>
        <w:t>expert opinion, no direct research evidence or one or more RCTS with severe limitations</w:t>
      </w:r>
    </w:p>
    <w:p w:rsidR="00756D43" w:rsidRPr="00E302AC" w:rsidRDefault="00756D43" w:rsidP="00756D43">
      <w:pPr>
        <w:pStyle w:val="ListParagraph"/>
        <w:numPr>
          <w:ilvl w:val="0"/>
          <w:numId w:val="1"/>
        </w:numPr>
        <w:contextualSpacing/>
        <w:rPr>
          <w:rFonts w:cs="Times New Roman"/>
        </w:rPr>
      </w:pPr>
      <w:r w:rsidRPr="00E302AC">
        <w:rPr>
          <w:rFonts w:cs="Times New Roman"/>
          <w:u w:val="single"/>
        </w:rPr>
        <w:t xml:space="preserve">Magnitude of the </w:t>
      </w:r>
      <w:r>
        <w:rPr>
          <w:rFonts w:cs="Times New Roman"/>
          <w:u w:val="single"/>
        </w:rPr>
        <w:t>e</w:t>
      </w:r>
      <w:r w:rsidRPr="00E302AC">
        <w:rPr>
          <w:rFonts w:cs="Times New Roman"/>
          <w:u w:val="single"/>
        </w:rPr>
        <w:t>ffect</w:t>
      </w:r>
      <w:r w:rsidRPr="00E302AC">
        <w:rPr>
          <w:rFonts w:cs="Times New Roman"/>
        </w:rPr>
        <w:t xml:space="preserve"> was categorized into five levels of none (&lt;0.2), small (0.2 – 0.5), moderate (0.5 – 0.8), large (&gt; 0.8) or not described (authors did not describe or report effect size for this review’s outcomes of interest due to the lack of author reporting).</w:t>
      </w:r>
    </w:p>
    <w:p w:rsidR="00756D43" w:rsidRDefault="00756D43" w:rsidP="00756D43">
      <w:pPr>
        <w:pStyle w:val="ListParagraph"/>
        <w:numPr>
          <w:ilvl w:val="0"/>
          <w:numId w:val="1"/>
        </w:numPr>
        <w:contextualSpacing/>
        <w:rPr>
          <w:rFonts w:cs="Times New Roman"/>
        </w:rPr>
      </w:pPr>
      <w:r w:rsidRPr="00E302AC">
        <w:rPr>
          <w:rFonts w:cs="Times New Roman"/>
          <w:u w:val="single"/>
        </w:rPr>
        <w:t xml:space="preserve">Safety </w:t>
      </w:r>
      <w:r>
        <w:rPr>
          <w:rFonts w:cs="Times New Roman"/>
          <w:u w:val="single"/>
        </w:rPr>
        <w:t>g</w:t>
      </w:r>
      <w:r w:rsidRPr="00E302AC">
        <w:rPr>
          <w:rFonts w:cs="Times New Roman"/>
          <w:u w:val="single"/>
        </w:rPr>
        <w:t>rade</w:t>
      </w:r>
      <w:r w:rsidRPr="00E302AC">
        <w:rPr>
          <w:rFonts w:cs="Times New Roman"/>
        </w:rPr>
        <w:t xml:space="preserve"> is dependent on the frequency and severity of adverse events and interactions.  Safety was categorized into one of the following grades:  </w:t>
      </w:r>
      <w:r w:rsidRPr="00E302AC">
        <w:rPr>
          <w:rFonts w:cs="Times New Roman"/>
          <w:i/>
        </w:rPr>
        <w:t>+2</w:t>
      </w:r>
      <w:r w:rsidRPr="00E302AC">
        <w:rPr>
          <w:rFonts w:cs="Times New Roman"/>
        </w:rPr>
        <w:t xml:space="preserve">: appears safe with infrequent adverse events and interactions; </w:t>
      </w:r>
      <w:r w:rsidRPr="00E302AC">
        <w:rPr>
          <w:rFonts w:cs="Times New Roman"/>
          <w:i/>
        </w:rPr>
        <w:t>+1</w:t>
      </w:r>
      <w:r w:rsidRPr="00E302AC">
        <w:rPr>
          <w:rFonts w:cs="Times New Roman"/>
        </w:rPr>
        <w:t xml:space="preserve">: appears relatively safe but with frequent but not serious adverse events and interactions; </w:t>
      </w:r>
      <w:r w:rsidRPr="00E302AC">
        <w:rPr>
          <w:rFonts w:cs="Times New Roman"/>
          <w:i/>
        </w:rPr>
        <w:t>0:</w:t>
      </w:r>
      <w:r w:rsidRPr="00E302AC">
        <w:rPr>
          <w:rFonts w:cs="Times New Roman"/>
        </w:rPr>
        <w:t xml:space="preserve"> safety not well understood or conflicting; </w:t>
      </w:r>
      <w:r w:rsidRPr="00E302AC">
        <w:rPr>
          <w:rFonts w:cs="Times New Roman"/>
          <w:i/>
        </w:rPr>
        <w:t>-1</w:t>
      </w:r>
      <w:r w:rsidRPr="00E302AC">
        <w:rPr>
          <w:rFonts w:cs="Times New Roman"/>
        </w:rPr>
        <w:t xml:space="preserve">: appears to have safety concerns that include infrequent but serious adverse events and/or interactions or; </w:t>
      </w:r>
      <w:r w:rsidRPr="00E302AC">
        <w:rPr>
          <w:rFonts w:cs="Times New Roman"/>
          <w:i/>
        </w:rPr>
        <w:t>-2</w:t>
      </w:r>
      <w:r w:rsidRPr="00E302AC">
        <w:rPr>
          <w:rFonts w:cs="Times New Roman"/>
        </w:rPr>
        <w:t>: has serious safety concerns that include frequent and serious adverse events and/or interactions.</w:t>
      </w:r>
    </w:p>
    <w:p w:rsidR="00756D43" w:rsidRDefault="00756D43" w:rsidP="00756D43">
      <w:pPr>
        <w:pStyle w:val="ListParagraph"/>
        <w:numPr>
          <w:ilvl w:val="0"/>
          <w:numId w:val="1"/>
        </w:numPr>
        <w:contextualSpacing/>
        <w:rPr>
          <w:rFonts w:cs="Times New Roman"/>
        </w:rPr>
      </w:pPr>
      <w:r w:rsidRPr="0020395E">
        <w:rPr>
          <w:rFonts w:cs="Times New Roman"/>
          <w:u w:val="single"/>
        </w:rPr>
        <w:t xml:space="preserve">Strength of the </w:t>
      </w:r>
      <w:r>
        <w:rPr>
          <w:rFonts w:cs="Times New Roman"/>
          <w:u w:val="single"/>
        </w:rPr>
        <w:t>r</w:t>
      </w:r>
      <w:r w:rsidRPr="0020395E">
        <w:rPr>
          <w:rFonts w:cs="Times New Roman"/>
          <w:u w:val="single"/>
        </w:rPr>
        <w:t>ecommendation</w:t>
      </w:r>
      <w:r w:rsidRPr="0020395E">
        <w:rPr>
          <w:rFonts w:cs="Times New Roman"/>
        </w:rPr>
        <w:t xml:space="preserve"> can be determined using the following categories and criteria: </w:t>
      </w:r>
      <w:r w:rsidRPr="0020395E">
        <w:rPr>
          <w:rFonts w:cs="Times New Roman"/>
          <w:i/>
        </w:rPr>
        <w:t>Strong recommendation in favor of or against:</w:t>
      </w:r>
      <w:r w:rsidRPr="0020395E">
        <w:rPr>
          <w:rFonts w:cs="Times New Roman"/>
        </w:rPr>
        <w:t xml:space="preserve"> very certain that benefits do, or do not, outweigh risks and burdens; </w:t>
      </w:r>
      <w:r w:rsidRPr="0020395E">
        <w:rPr>
          <w:rFonts w:cs="Times New Roman"/>
          <w:i/>
        </w:rPr>
        <w:t>No recommendation</w:t>
      </w:r>
      <w:r w:rsidRPr="0020395E">
        <w:rPr>
          <w:rFonts w:cs="Times New Roman"/>
        </w:rPr>
        <w:t xml:space="preserve">: no recommendations can be made or; </w:t>
      </w:r>
      <w:r w:rsidRPr="0020395E">
        <w:rPr>
          <w:rFonts w:cs="Times New Roman"/>
          <w:i/>
        </w:rPr>
        <w:t>Weak recommendation in favor of or against:</w:t>
      </w:r>
      <w:r w:rsidRPr="0020395E">
        <w:rPr>
          <w:rFonts w:cs="Times New Roman"/>
        </w:rPr>
        <w:t xml:space="preserve"> benefits and risks and burdens are finely balanced, or appreciable uncertainty exists about the magnitude of benefits and risks.</w:t>
      </w:r>
    </w:p>
    <w:p w:rsidR="00756D43" w:rsidRDefault="00756D43"/>
    <w:sectPr w:rsidR="00756D43" w:rsidSect="00756D4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90B94"/>
    <w:multiLevelType w:val="hybridMultilevel"/>
    <w:tmpl w:val="870EBE6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D43"/>
    <w:rsid w:val="00756D43"/>
    <w:rsid w:val="00C414D2"/>
    <w:rsid w:val="00F2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56D43"/>
    <w:pPr>
      <w:spacing w:after="0" w:line="480" w:lineRule="auto"/>
      <w:ind w:firstLine="504"/>
    </w:pPr>
    <w:rPr>
      <w:rFonts w:ascii="Times New Roman" w:eastAsia="Times New Roman" w:hAnsi="Times New Roman" w:cs="Calibri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D43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56D43"/>
    <w:pPr>
      <w:spacing w:after="0" w:line="480" w:lineRule="auto"/>
      <w:ind w:firstLine="504"/>
    </w:pPr>
    <w:rPr>
      <w:rFonts w:ascii="Times New Roman" w:eastAsia="Times New Roman" w:hAnsi="Times New Roman" w:cs="Calibri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D4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 Enslein</dc:creator>
  <cp:lastModifiedBy>Viviane Enslein</cp:lastModifiedBy>
  <cp:revision>1</cp:revision>
  <dcterms:created xsi:type="dcterms:W3CDTF">2014-01-17T19:25:00Z</dcterms:created>
  <dcterms:modified xsi:type="dcterms:W3CDTF">2014-01-17T19:26:00Z</dcterms:modified>
</cp:coreProperties>
</file>