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34B0" w:rsidRPr="00B5176A" w:rsidRDefault="00F95BD6" w:rsidP="000A34B0">
      <w:pPr>
        <w:rPr>
          <w:b/>
          <w:sz w:val="30"/>
        </w:rPr>
      </w:pPr>
      <w:r>
        <w:rPr>
          <w:b/>
          <w:sz w:val="30"/>
        </w:rPr>
        <w:t>Additional file 1</w:t>
      </w:r>
    </w:p>
    <w:p w:rsidR="000A34B0" w:rsidRDefault="000A34B0" w:rsidP="000A34B0">
      <w:pPr>
        <w:rPr>
          <w:b/>
        </w:rPr>
      </w:pPr>
    </w:p>
    <w:p w:rsidR="000A34B0" w:rsidRDefault="000A34B0" w:rsidP="000A34B0">
      <w:pPr>
        <w:rPr>
          <w:b/>
        </w:rPr>
      </w:pPr>
      <w:r>
        <w:rPr>
          <w:b/>
        </w:rPr>
        <w:t>Additional details on the computation of the annual averages at NYCCAS locations</w:t>
      </w:r>
    </w:p>
    <w:p w:rsidR="000A34B0" w:rsidRDefault="000A34B0" w:rsidP="000A34B0">
      <w:pPr>
        <w:rPr>
          <w:rFonts w:cstheme="minorHAnsi"/>
        </w:rPr>
      </w:pPr>
    </w:p>
    <w:p w:rsidR="000A34B0" w:rsidRDefault="000A34B0" w:rsidP="000A34B0">
      <w:pPr>
        <w:rPr>
          <w:b/>
        </w:rPr>
      </w:pPr>
      <w:r w:rsidRPr="003E47D2">
        <w:rPr>
          <w:rFonts w:cstheme="minorHAnsi"/>
        </w:rPr>
        <w:t xml:space="preserve">Details on the monitoring network and data collection are described elsewhere </w:t>
      </w:r>
      <w:r w:rsidR="001B0E63" w:rsidRPr="003E47D2">
        <w:rPr>
          <w:rFonts w:cstheme="minorHAnsi"/>
        </w:rPr>
        <w:fldChar w:fldCharType="begin" w:fldLock="1"/>
      </w:r>
      <w:r w:rsidR="006A3C65">
        <w:rPr>
          <w:rFonts w:cstheme="minorHAnsi"/>
        </w:rPr>
        <w:instrText>ADDIN CSL_CITATION { "citationItems" : [ { "id" : "ITEM-1", "itemData" : { "DOI" : "10.1038/jes.2012.126", "author" : [ { "dropping-particle" : "", "family" : "Matte", "given" : "Thomas D.", "non-dropping-particle" : "", "parse-names" : false, "suffix" : "" }, { "dropping-particle" : "", "family" : "Ross", "given" : "Zev", "non-dropping-particle" : "", "parse-names" : false, "suffix" : "" }, { "dropping-particle" : "", "family" : "Kheirbek", "given" : "Iyad", "non-dropping-particle" : "", "parse-names" : false, "suffix" : "" }, { "dropping-particle" : "", "family" : "Eisl", "given" : "Holger", "non-dropping-particle" : "", "parse-names" : false, "suffix" : "" }, { "dropping-particle" : "", "family" : "Johnson", "given" : "Sarah", "non-dropping-particle" : "", "parse-names" : false, "suffix" : "" }, { "dropping-particle" : "", "family" : "Gorczynski", "given" : "John E.", "non-dropping-particle" : "", "parse-names" : false, "suffix" : "" }, { "dropping-particle" : "", "family" : "Kass", "given" : "Daniel", "non-dropping-particle" : "", "parse-names" : false, "suffix" : "" }, { "dropping-particle" : "", "family" : "Markowitz", "given" : "Steven", "non-dropping-particle" : "", "parse-names" : false, "suffix" : "" }, { "dropping-particle" : "", "family" : "Pezeshki", "given" : "Grant", "non-dropping-particle" : "", "parse-names" : false, "suffix" : "" }, { "dropping-particle" : "", "family" : "Clougherty", "given" : "Jane E", "non-dropping-particle" : "", "parse-names" : false, "suffix" : "" } ], "container-title" : "Journal of Exposure Science and Environmental Epidemiology", "id" : "ITEM-1", "issue" : "3", "issued" : { "date-parts" : [ [ "2013" ] ] }, "page" : "223-231", "title" : "Monitoring intra-urban spatial patterns of multiple combustion air pollutants in New York City: Design and implementation", "type" : "article-journal", "volume" : "23" }, "uris" : [ "http://www.mendeley.com/documents/?uuid=08c1ec02-6d20-49ad-bbbc-61cd2fb54489" ] } ], "mendeley" : { "previouslyFormattedCitation" : "[1]" }, "properties" : { "noteIndex" : 0 }, "schema" : "https://github.com/citation-style-language/schema/raw/master/csl-citation.json" }</w:instrText>
      </w:r>
      <w:r w:rsidR="001B0E63" w:rsidRPr="003E47D2">
        <w:rPr>
          <w:rFonts w:cstheme="minorHAnsi"/>
        </w:rPr>
        <w:fldChar w:fldCharType="separate"/>
      </w:r>
      <w:r w:rsidR="008949AC" w:rsidRPr="008949AC">
        <w:rPr>
          <w:rFonts w:cstheme="minorHAnsi"/>
          <w:noProof/>
        </w:rPr>
        <w:t>[1]</w:t>
      </w:r>
      <w:r w:rsidR="001B0E63" w:rsidRPr="003E47D2">
        <w:rPr>
          <w:rFonts w:cstheme="minorHAnsi"/>
        </w:rPr>
        <w:fldChar w:fldCharType="end"/>
      </w:r>
      <w:r w:rsidRPr="003E47D2">
        <w:rPr>
          <w:rFonts w:cstheme="minorHAnsi"/>
        </w:rPr>
        <w:t xml:space="preserve">. Briefly, as part of NYCCAS, two-week average concentrations of several pollutants at street-level (10-12 feet off the ground) were collected in each of the four seasons at 150 locations in New York City for the period December, 2008 through December, 2010. The period of December 2008-December 2009 is referred to here as "Year 1" and was used to develop the models while December 2009-December 2010 ("Year 2") was used for validation. Budgetary limitations precluded monitoring at all 150 locations simultaneously for </w:t>
      </w:r>
      <w:r>
        <w:rPr>
          <w:rFonts w:cstheme="minorHAnsi"/>
        </w:rPr>
        <w:t>the full time period</w:t>
      </w:r>
      <w:r w:rsidRPr="003E47D2">
        <w:rPr>
          <w:rFonts w:cstheme="minorHAnsi"/>
        </w:rPr>
        <w:t>. As a result, 25 sites selected randomly (stratified by boroughs split into east and west) were monitored in each two-week</w:t>
      </w:r>
      <w:r w:rsidR="00AB4211">
        <w:rPr>
          <w:rFonts w:cstheme="minorHAnsi"/>
        </w:rPr>
        <w:t xml:space="preserve"> </w:t>
      </w:r>
      <w:r w:rsidRPr="003E47D2">
        <w:rPr>
          <w:rFonts w:cstheme="minorHAnsi"/>
        </w:rPr>
        <w:t>period</w:t>
      </w:r>
      <w:r w:rsidR="00AB4211">
        <w:rPr>
          <w:rFonts w:cstheme="minorHAnsi"/>
        </w:rPr>
        <w:t xml:space="preserve"> ("session")</w:t>
      </w:r>
      <w:r w:rsidRPr="003E47D2">
        <w:rPr>
          <w:rFonts w:cstheme="minorHAnsi"/>
        </w:rPr>
        <w:t xml:space="preserve">. </w:t>
      </w:r>
      <w:r>
        <w:rPr>
          <w:rFonts w:cstheme="minorHAnsi"/>
        </w:rPr>
        <w:t xml:space="preserve"> However, the two-week samples collected at the 150 sites are influenced by weather-driven citywide general pollution levels occurring during the two-week sessions.  Therefore, the two-week samples from five continuous reference sites were used to temporally adjust each of the two-week samples from the 150 sites.  These five reference sites are centrally located in each of five boroughs and are away from major pollution sources</w:t>
      </w:r>
      <w:r w:rsidR="00112F09">
        <w:rPr>
          <w:rFonts w:cstheme="minorHAnsi"/>
        </w:rPr>
        <w:t xml:space="preserve"> and were not included in the modeling</w:t>
      </w:r>
      <w:r>
        <w:rPr>
          <w:rFonts w:cstheme="minorHAnsi"/>
        </w:rPr>
        <w:t xml:space="preserve">.  Thus, in each season, each two-week sample value was multiplied by the ratio of the seasonal mean of the reference sites to the mean of that two-week session across the reference sites. </w:t>
      </w:r>
      <w:r w:rsidRPr="003E47D2">
        <w:rPr>
          <w:rFonts w:cstheme="minorHAnsi"/>
        </w:rPr>
        <w:t>The</w:t>
      </w:r>
      <w:r>
        <w:rPr>
          <w:rFonts w:cstheme="minorHAnsi"/>
        </w:rPr>
        <w:t>n, the</w:t>
      </w:r>
      <w:r w:rsidR="00BF6B2E">
        <w:rPr>
          <w:rFonts w:cstheme="minorHAnsi"/>
        </w:rPr>
        <w:t xml:space="preserve"> </w:t>
      </w:r>
      <w:r w:rsidR="00BF6B2E" w:rsidRPr="003E47D2">
        <w:rPr>
          <w:rFonts w:cstheme="minorHAnsi"/>
        </w:rPr>
        <w:t>four</w:t>
      </w:r>
      <w:r>
        <w:rPr>
          <w:rFonts w:cstheme="minorHAnsi"/>
        </w:rPr>
        <w:t xml:space="preserve"> temporally-adjusted </w:t>
      </w:r>
      <w:r w:rsidRPr="003E47D2">
        <w:rPr>
          <w:rFonts w:cstheme="minorHAnsi"/>
        </w:rPr>
        <w:t xml:space="preserve">seasonal two-week averages in Year 1 were </w:t>
      </w:r>
      <w:r>
        <w:rPr>
          <w:rFonts w:cstheme="minorHAnsi"/>
        </w:rPr>
        <w:t>averaged</w:t>
      </w:r>
      <w:r w:rsidRPr="003E47D2">
        <w:rPr>
          <w:rFonts w:cstheme="minorHAnsi"/>
        </w:rPr>
        <w:t xml:space="preserve"> to generate annual average</w:t>
      </w:r>
      <w:r>
        <w:rPr>
          <w:rFonts w:cstheme="minorHAnsi"/>
        </w:rPr>
        <w:t>s, resulting in the spatial NYCCAS data, which are the dependent variable in a land-use regression</w:t>
      </w:r>
      <w:r w:rsidRPr="003E47D2">
        <w:rPr>
          <w:rFonts w:cstheme="minorHAnsi"/>
        </w:rPr>
        <w:t>.</w:t>
      </w:r>
    </w:p>
    <w:p w:rsidR="000A34B0" w:rsidRDefault="000A34B0" w:rsidP="000A34B0">
      <w:pPr>
        <w:rPr>
          <w:b/>
        </w:rPr>
      </w:pPr>
    </w:p>
    <w:p w:rsidR="000A34B0" w:rsidRDefault="000A34B0" w:rsidP="000A34B0">
      <w:pPr>
        <w:rPr>
          <w:b/>
        </w:rPr>
      </w:pPr>
      <w:r>
        <w:rPr>
          <w:b/>
        </w:rPr>
        <w:t>Details on which regulatory sites were included in the computation of the city-wide temporal pattern and the imputation of missing data</w:t>
      </w:r>
    </w:p>
    <w:p w:rsidR="000A34B0" w:rsidRDefault="000A34B0" w:rsidP="000A34B0"/>
    <w:p w:rsidR="000A34B0" w:rsidRDefault="000A34B0" w:rsidP="000A34B0">
      <w:r>
        <w:t xml:space="preserve">Sites with complete data include a site in northern Manhattan (AQS ID </w:t>
      </w:r>
      <w:r w:rsidRPr="00167B1E">
        <w:t>360610079</w:t>
      </w:r>
      <w:r>
        <w:t xml:space="preserve">, every-third-day schedule), southern Bronx (AQS ID </w:t>
      </w:r>
      <w:r w:rsidRPr="00CB2DD7">
        <w:t>360050080</w:t>
      </w:r>
      <w:r>
        <w:t xml:space="preserve">, every-third-day schedule), Queens (AQS ID </w:t>
      </w:r>
      <w:r w:rsidRPr="00CB2DD7">
        <w:t>360810124</w:t>
      </w:r>
      <w:r>
        <w:t xml:space="preserve">, every-day schedule), and Staten Island (AQS ID </w:t>
      </w:r>
      <w:r w:rsidRPr="00CB2DD7">
        <w:t>360850067</w:t>
      </w:r>
      <w:r>
        <w:t xml:space="preserve">, every-third-day schedule) providing good overall spatial coverage. There were two monitors with complete </w:t>
      </w:r>
      <w:r w:rsidRPr="00EB2035">
        <w:t>NO</w:t>
      </w:r>
      <w:r w:rsidRPr="00EB2035">
        <w:rPr>
          <w:vertAlign w:val="subscript"/>
        </w:rPr>
        <w:t>2</w:t>
      </w:r>
      <w:r>
        <w:t xml:space="preserve"> data, both collecting data every day – one site in Queens (AQS ID </w:t>
      </w:r>
      <w:r w:rsidRPr="00032391">
        <w:t>360810124</w:t>
      </w:r>
      <w:r>
        <w:t xml:space="preserve">) and one in the Bronx (AQS ID </w:t>
      </w:r>
      <w:r w:rsidRPr="00032391">
        <w:t>360050133</w:t>
      </w:r>
      <w:r>
        <w:t>).</w:t>
      </w:r>
    </w:p>
    <w:p w:rsidR="00AB4211" w:rsidRDefault="00AB4211" w:rsidP="000A34B0"/>
    <w:p w:rsidR="00AB4211" w:rsidRPr="00AB4211" w:rsidRDefault="001B0E63" w:rsidP="000A34B0">
      <w:pPr>
        <w:rPr>
          <w:b/>
        </w:rPr>
      </w:pPr>
      <w:r w:rsidRPr="001B0E63">
        <w:rPr>
          <w:b/>
        </w:rPr>
        <w:t>Handling Missing Regulatory Air Quality Data</w:t>
      </w:r>
    </w:p>
    <w:p w:rsidR="000A34B0" w:rsidRDefault="000A34B0" w:rsidP="000A34B0"/>
    <w:p w:rsidR="000A34B0" w:rsidRDefault="00112F09" w:rsidP="000A34B0">
      <w:r>
        <w:t xml:space="preserve">Some </w:t>
      </w:r>
      <w:r w:rsidRPr="00AD7A4F">
        <w:rPr>
          <w:color w:val="000000"/>
        </w:rPr>
        <w:t>PM</w:t>
      </w:r>
      <w:r w:rsidRPr="00AD7A4F">
        <w:rPr>
          <w:color w:val="000000"/>
          <w:vertAlign w:val="subscript"/>
        </w:rPr>
        <w:t>2.5</w:t>
      </w:r>
      <w:r>
        <w:t xml:space="preserve"> regulatory monitors used in this study operate on different monitoring schedules. The one site in Queens operated every day and the other three sites operated every three days. Although the four sites are strongly correlated the values at the Queens site are slightly lower. To account for this difference we adjusted the values on days with data from only the Queens monitor. The adjustment was conducted using the linear relationship between the value at the Queens site and the four-site average for days with data from all four sites (</w:t>
      </w:r>
      <w:r w:rsidR="00BF6B2E">
        <w:t xml:space="preserve">i.e., </w:t>
      </w:r>
      <w:proofErr w:type="spellStart"/>
      <w:r>
        <w:t>AvgOfAllMonitors~ValueAtQueensSite</w:t>
      </w:r>
      <w:proofErr w:type="spellEnd"/>
      <w:r>
        <w:t xml:space="preserve">, yielding an </w:t>
      </w:r>
      <w:r w:rsidRPr="00A21DC2">
        <w:t>R</w:t>
      </w:r>
      <w:r w:rsidRPr="00A21DC2">
        <w:rPr>
          <w:vertAlign w:val="superscript"/>
        </w:rPr>
        <w:t>2</w:t>
      </w:r>
      <w:r>
        <w:t xml:space="preserve"> of 0.96, a slope of 0.98 and an intercept of 0.89). </w:t>
      </w:r>
      <w:r w:rsidR="000A34B0">
        <w:t>Fifty-two days (3%) had no monitoring data</w:t>
      </w:r>
      <w:r w:rsidR="00BF6B2E">
        <w:t xml:space="preserve"> and were not imputed</w:t>
      </w:r>
      <w:r w:rsidR="000A34B0">
        <w:t xml:space="preserve">. The mean citywide daily </w:t>
      </w:r>
      <w:r w:rsidR="000A34B0" w:rsidRPr="00AD7A4F">
        <w:rPr>
          <w:color w:val="000000"/>
        </w:rPr>
        <w:t>PM</w:t>
      </w:r>
      <w:r w:rsidR="000A34B0" w:rsidRPr="00AD7A4F">
        <w:rPr>
          <w:color w:val="000000"/>
          <w:vertAlign w:val="subscript"/>
        </w:rPr>
        <w:t>2.5</w:t>
      </w:r>
      <w:r w:rsidR="000A34B0">
        <w:t xml:space="preserve"> value in Year 1 was 11.0 </w:t>
      </w:r>
      <w:r w:rsidR="000A34B0" w:rsidRPr="00777C6E">
        <w:t>µg/m</w:t>
      </w:r>
      <w:r w:rsidR="000A34B0" w:rsidRPr="00777C6E">
        <w:rPr>
          <w:vertAlign w:val="superscript"/>
        </w:rPr>
        <w:t>3</w:t>
      </w:r>
      <w:r w:rsidR="000A34B0">
        <w:t xml:space="preserve"> (1st quartile =6.4, 3rd quartile = 14.1, min=2.5, max=42.2).</w:t>
      </w:r>
      <w:r w:rsidR="00B67FFD">
        <w:t xml:space="preserve"> </w:t>
      </w:r>
    </w:p>
    <w:p w:rsidR="000A34B0" w:rsidRDefault="000A34B0" w:rsidP="000A34B0"/>
    <w:p w:rsidR="000A34B0" w:rsidRPr="00B5176A" w:rsidRDefault="000A34B0" w:rsidP="000A34B0">
      <w:pPr>
        <w:rPr>
          <w:b/>
        </w:rPr>
      </w:pPr>
      <w:r>
        <w:t>For days with missing data from one</w:t>
      </w:r>
      <w:r w:rsidR="00BF6B2E">
        <w:t xml:space="preserve"> </w:t>
      </w:r>
      <w:r w:rsidR="00BF6B2E" w:rsidRPr="00EB2035">
        <w:t>NO</w:t>
      </w:r>
      <w:r w:rsidR="00BF6B2E" w:rsidRPr="00EB2035">
        <w:rPr>
          <w:vertAlign w:val="subscript"/>
        </w:rPr>
        <w:t>2</w:t>
      </w:r>
      <w:r w:rsidR="00BF6B2E">
        <w:t xml:space="preserve"> </w:t>
      </w:r>
      <w:r>
        <w:t>monitor, the two-monitor average was imputed using the linear relationship between th</w:t>
      </w:r>
      <w:r w:rsidR="006A3C65">
        <w:t>e site with missing data</w:t>
      </w:r>
      <w:r>
        <w:t xml:space="preserve"> and the two-monitor average for days with data from both monitors</w:t>
      </w:r>
      <w:r w:rsidR="00BF6B2E">
        <w:t xml:space="preserve">. </w:t>
      </w:r>
      <w:r w:rsidR="00BF6B2E">
        <w:rPr>
          <w:color w:val="000000"/>
        </w:rPr>
        <w:t xml:space="preserve">One of two regression formulas would be used depending on which value was missing. Formula 1 would be </w:t>
      </w:r>
      <w:proofErr w:type="spellStart"/>
      <w:r w:rsidR="00BF6B2E">
        <w:t>AvgOfBothMonitors~</w:t>
      </w:r>
      <w:proofErr w:type="gramStart"/>
      <w:r w:rsidR="00BF6B2E">
        <w:t>ValueAtQueensSite</w:t>
      </w:r>
      <w:proofErr w:type="spellEnd"/>
      <w:r w:rsidR="00BF6B2E">
        <w:t xml:space="preserve">  (</w:t>
      </w:r>
      <w:proofErr w:type="gramEnd"/>
      <w:r w:rsidR="00BF6B2E" w:rsidRPr="00A21DC2">
        <w:t>R</w:t>
      </w:r>
      <w:r w:rsidR="00BF6B2E" w:rsidRPr="00A21DC2">
        <w:rPr>
          <w:vertAlign w:val="superscript"/>
        </w:rPr>
        <w:t>2</w:t>
      </w:r>
      <w:r w:rsidR="00BF6B2E">
        <w:t xml:space="preserve"> of 0.94, intercept=1.47, slope </w:t>
      </w:r>
      <w:r w:rsidR="00BF6B2E">
        <w:lastRenderedPageBreak/>
        <w:t xml:space="preserve">0.95) and Formula 2 would be </w:t>
      </w:r>
      <w:proofErr w:type="spellStart"/>
      <w:r w:rsidR="00BF6B2E">
        <w:t>AvgOfAllMonitors~ValueAtBronxSite</w:t>
      </w:r>
      <w:proofErr w:type="spellEnd"/>
      <w:r w:rsidR="00BF6B2E">
        <w:t xml:space="preserve"> (</w:t>
      </w:r>
      <w:r w:rsidR="00BF6B2E" w:rsidRPr="00A21DC2">
        <w:t>R</w:t>
      </w:r>
      <w:r w:rsidR="00BF6B2E" w:rsidRPr="00A21DC2">
        <w:rPr>
          <w:vertAlign w:val="superscript"/>
        </w:rPr>
        <w:t>2</w:t>
      </w:r>
      <w:r w:rsidR="00BF6B2E">
        <w:t xml:space="preserve"> of 0.94, intercept=1.15, slope 0.93)</w:t>
      </w:r>
      <w:r w:rsidR="00BF6B2E">
        <w:rPr>
          <w:color w:val="000000"/>
        </w:rPr>
        <w:t>.</w:t>
      </w:r>
      <w:r>
        <w:t xml:space="preserve"> For </w:t>
      </w:r>
      <w:r w:rsidRPr="00EB2035">
        <w:t>NO</w:t>
      </w:r>
      <w:r w:rsidRPr="00EB2035">
        <w:rPr>
          <w:vertAlign w:val="subscript"/>
        </w:rPr>
        <w:t>2</w:t>
      </w:r>
      <w:r>
        <w:t>, the overall daily mean was 21.8 ppb (1st quartile =16.0, 3rd quartile = 26.3, min=5.0, max=57.5).</w:t>
      </w:r>
      <w:r>
        <w:rPr>
          <w:color w:val="000000"/>
        </w:rPr>
        <w:t xml:space="preserve"> </w:t>
      </w:r>
      <w:r w:rsidR="001B0E63">
        <w:rPr>
          <w:b/>
        </w:rPr>
        <w:fldChar w:fldCharType="begin"/>
      </w:r>
      <w:r>
        <w:rPr>
          <w:b/>
        </w:rPr>
        <w:instrText xml:space="preserve"> ADDIN </w:instrText>
      </w:r>
      <w:r w:rsidR="001B0E63">
        <w:rPr>
          <w:b/>
        </w:rPr>
        <w:fldChar w:fldCharType="end"/>
      </w:r>
    </w:p>
    <w:p w:rsidR="000A34B0" w:rsidRDefault="000A34B0" w:rsidP="000A34B0">
      <w:pPr>
        <w:rPr>
          <w:b/>
        </w:rPr>
      </w:pPr>
    </w:p>
    <w:p w:rsidR="008F4B09" w:rsidRDefault="008F4B09" w:rsidP="008F4B09">
      <w:pPr>
        <w:rPr>
          <w:b/>
        </w:rPr>
      </w:pPr>
      <w:r>
        <w:rPr>
          <w:b/>
        </w:rPr>
        <w:t xml:space="preserve">Details on the breakdown of spatial and temporal variation in the Year 2 measured </w:t>
      </w:r>
      <w:r w:rsidR="006A3C65">
        <w:rPr>
          <w:b/>
        </w:rPr>
        <w:t>concentrations</w:t>
      </w:r>
    </w:p>
    <w:p w:rsidR="008F4B09" w:rsidRDefault="008F4B09" w:rsidP="008F4B09">
      <w:pPr>
        <w:rPr>
          <w:b/>
        </w:rPr>
      </w:pPr>
    </w:p>
    <w:p w:rsidR="001E1E34" w:rsidRDefault="009D5678" w:rsidP="008F4B09">
      <w:r>
        <w:t>Similar to</w:t>
      </w:r>
      <w:r w:rsidR="008F4B09">
        <w:t xml:space="preserve"> the approach outlined in </w:t>
      </w:r>
      <w:r w:rsidR="001B0E63">
        <w:fldChar w:fldCharType="begin" w:fldLock="1"/>
      </w:r>
      <w:r w:rsidR="006A3C65">
        <w:instrText>ADDIN CSL_CITATION { "citationItems" : [ { "id" : "ITEM-1", "itemData" : { "DOI" : "10.1038/jes.2013.1", "abstract" : "Regulatory monitoring data and land-use regression (LUR) models have been widely used for estimating individual exposure to ambient air pollution in epidemiologic studies. However, LUR models lack fine-scale temporal resolution for predicting acute exposure and regulatory monitoring provides daily concentrations, but fails to capture spatial variability within urban areas. This study coupled LUR models with continuous regulatory monitoring to predict daily ambient nitrogen dioxide (NO2) and particulate matter (PM2.5) at 50 homes in Windsor, Ontario. We compared predicted versus measured daily outdoor concentrations for 5 days in winter and 5 days in summer at each home. We also examined the implications of using modeled versus measured daily pollutant concentrations to predict daily lung function among asthmatic children living in those homes. Mixed effect analysis suggested that temporally refined LUR models explained a greater proportion of the spatial and temporal variance in daily household-level outdoor NO2 measurements compared with daily concentrations based on regulatory monitoring. Temporally refined LUR models captured 40% (summer) and 10% (winter) more of the spatial variance compared with regulatory monitoring data. Ambient PM2.5 showed little spatial variation; therefore, daily PM2.5 models were similar to regulatory monitoring data in the proportion of variance explained. Furthermore, effect estimates for forced expiratory volume in 1\u2009s (FEV1) and peak expiratory flow (PEF) based on modeled pollutant concentrations were consistent with effects based on household-level measurements for NO2 and PM2.5. These results suggest that LUR modeling can be combined with continuous regulatory monitoring data to predict daily household-level exposure to ambient air pollution. Temporally refined LUR models provided a modest improvement in estimating daily household-level NO2 compared with regulatory monitoring data alone, suggesting that this approach could potentially improve exposure estimation for spatially heterogeneous pollutants. These findings have important implications for epidemiologic studies - in particular, for research focused on short-term exposure and health effects.Journal of Exposure Science and Environmental Epidemiology advance online publication, 27 March 2013; doi:10.1038/jes.2013.1.", "author" : [ { "dropping-particle" : "", "family" : "Johnson", "given" : "Markey", "non-dropping-particle" : "", "parse-names" : false, "suffix" : "" }, { "dropping-particle" : "", "family" : "Macneill", "given" : "Morgan", "non-dropping-particle" : "", "parse-names" : false, "suffix" : "" }, { "dropping-particle" : "", "family" : "Grgicak-Mannion", "given" : "Alice", "non-dropping-particle" : "", "parse-names" : false, "suffix" : "" }, { "dropping-particle" : "", "family" : "Nethery", "given" : "Elizabeth", "non-dropping-particle" : "", "parse-names" : false, "suffix" : "" }, { "dropping-particle" : "", "family" : "Xu", "given" : "Xiaohong", "non-dropping-particle" : "", "parse-names" : false, "suffix" : "" }, { "dropping-particle" : "", "family" : "Dales", "given" : "Robert", "non-dropping-particle" : "", "parse-names" : false, "suffix" : "" }, { "dropping-particle" : "", "family" : "Rasmussen", "given" : "Pat", "non-dropping-particle" : "", "parse-names" : false, "suffix" : "" }, { "dropping-particle" : "", "family" : "Wheeler", "given" : "Amanda", "non-dropping-particle" : "", "parse-names" : false, "suffix" : "" } ], "container-title" : "Journal of exposure science &amp; environmental epidemiology", "id" : "ITEM-1", "issue" : "3", "issued" : { "date-parts" : [ [ "2013", "3", "27" ] ] }, "page" : "259-267", "publisher" : "Nature Publishing Group", "title" : "Development of temporally refined land-use regression models predicting daily household-level air pollution in a panel study of lung function among asthmatic children.", "type" : "article-journal", "volume" : "23" }, "uris" : [ "http://www.mendeley.com/documents/?uuid=0e639929-25e1-4af3-8c72-46c85dcf44cd" ] } ], "mendeley" : { "previouslyFormattedCitation" : "[2]" }, "properties" : { "noteIndex" : 0 }, "schema" : "https://github.com/citation-style-language/schema/raw/master/csl-citation.json" }</w:instrText>
      </w:r>
      <w:r w:rsidR="001B0E63">
        <w:fldChar w:fldCharType="separate"/>
      </w:r>
      <w:r w:rsidR="008F4B09" w:rsidRPr="008F4B09">
        <w:rPr>
          <w:noProof/>
        </w:rPr>
        <w:t>[2]</w:t>
      </w:r>
      <w:r w:rsidR="001B0E63">
        <w:fldChar w:fldCharType="end"/>
      </w:r>
      <w:r w:rsidR="008F4B09">
        <w:t xml:space="preserve"> we used a mixed model approach to </w:t>
      </w:r>
      <w:r w:rsidR="003D4937">
        <w:t>apportion</w:t>
      </w:r>
      <w:r w:rsidR="008F4B09">
        <w:t xml:space="preserve"> the spatial and temporal variation in the raw concentrations</w:t>
      </w:r>
      <w:r w:rsidR="00AB4211">
        <w:t xml:space="preserve"> from Year 2</w:t>
      </w:r>
      <w:r w:rsidR="008F4B09">
        <w:t xml:space="preserve"> </w:t>
      </w:r>
      <w:r w:rsidR="003D4937">
        <w:t xml:space="preserve">using </w:t>
      </w:r>
      <w:r w:rsidR="008F4B09">
        <w:t xml:space="preserve">the R package lme4 </w:t>
      </w:r>
      <w:r>
        <w:t xml:space="preserve">(function </w:t>
      </w:r>
      <w:proofErr w:type="spellStart"/>
      <w:r>
        <w:t>lmer</w:t>
      </w:r>
      <w:proofErr w:type="spellEnd"/>
      <w:r>
        <w:t>)</w:t>
      </w:r>
      <w:r w:rsidR="003D4937">
        <w:t xml:space="preserve">. The model setup includes the </w:t>
      </w:r>
      <w:r w:rsidR="008F4B09">
        <w:t xml:space="preserve">raw concentrations as the response, no predictor </w:t>
      </w:r>
      <w:r>
        <w:t xml:space="preserve">variables and the </w:t>
      </w:r>
      <w:r w:rsidR="003D4937">
        <w:t>monitoring sessions</w:t>
      </w:r>
      <w:r>
        <w:t xml:space="preserve"> as random effects</w:t>
      </w:r>
      <w:r w:rsidR="006A3C65">
        <w:t xml:space="preserve"> (which differs slightly from </w:t>
      </w:r>
      <w:r w:rsidR="001B0E63">
        <w:fldChar w:fldCharType="begin" w:fldLock="1"/>
      </w:r>
      <w:r w:rsidR="006A3C65">
        <w:instrText>ADDIN CSL_CITATION { "citationItems" : [ { "id" : "ITEM-1", "itemData" : { "DOI" : "10.1038/jes.2013.1", "abstract" : "Regulatory monitoring data and land-use regression (LUR) models have been widely used for estimating individual exposure to ambient air pollution in epidemiologic studies. However, LUR models lack fine-scale temporal resolution for predicting acute exposure and regulatory monitoring provides daily concentrations, but fails to capture spatial variability within urban areas. This study coupled LUR models with continuous regulatory monitoring to predict daily ambient nitrogen dioxide (NO2) and particulate matter (PM2.5) at 50 homes in Windsor, Ontario. We compared predicted versus measured daily outdoor concentrations for 5 days in winter and 5 days in summer at each home. We also examined the implications of using modeled versus measured daily pollutant concentrations to predict daily lung function among asthmatic children living in those homes. Mixed effect analysis suggested that temporally refined LUR models explained a greater proportion of the spatial and temporal variance in daily household-level outdoor NO2 measurements compared with daily concentrations based on regulatory monitoring. Temporally refined LUR models captured 40% (summer) and 10% (winter) more of the spatial variance compared with regulatory monitoring data. Ambient PM2.5 showed little spatial variation; therefore, daily PM2.5 models were similar to regulatory monitoring data in the proportion of variance explained. Furthermore, effect estimates for forced expiratory volume in 1\u2009s (FEV1) and peak expiratory flow (PEF) based on modeled pollutant concentrations were consistent with effects based on household-level measurements for NO2 and PM2.5. These results suggest that LUR modeling can be combined with continuous regulatory monitoring data to predict daily household-level exposure to ambient air pollution. Temporally refined LUR models provided a modest improvement in estimating daily household-level NO2 compared with regulatory monitoring data alone, suggesting that this approach could potentially improve exposure estimation for spatially heterogeneous pollutants. These findings have important implications for epidemiologic studies - in particular, for research focused on short-term exposure and health effects.Journal of Exposure Science and Environmental Epidemiology advance online publication, 27 March 2013; doi:10.1038/jes.2013.1.", "author" : [ { "dropping-particle" : "", "family" : "Johnson", "given" : "Markey", "non-dropping-particle" : "", "parse-names" : false, "suffix" : "" }, { "dropping-particle" : "", "family" : "Macneill", "given" : "Morgan", "non-dropping-particle" : "", "parse-names" : false, "suffix" : "" }, { "dropping-particle" : "", "family" : "Grgicak-Mannion", "given" : "Alice", "non-dropping-particle" : "", "parse-names" : false, "suffix" : "" }, { "dropping-particle" : "", "family" : "Nethery", "given" : "Elizabeth", "non-dropping-particle" : "", "parse-names" : false, "suffix" : "" }, { "dropping-particle" : "", "family" : "Xu", "given" : "Xiaohong", "non-dropping-particle" : "", "parse-names" : false, "suffix" : "" }, { "dropping-particle" : "", "family" : "Dales", "given" : "Robert", "non-dropping-particle" : "", "parse-names" : false, "suffix" : "" }, { "dropping-particle" : "", "family" : "Rasmussen", "given" : "Pat", "non-dropping-particle" : "", "parse-names" : false, "suffix" : "" }, { "dropping-particle" : "", "family" : "Wheeler", "given" : "Amanda", "non-dropping-particle" : "", "parse-names" : false, "suffix" : "" } ], "container-title" : "Journal of exposure science &amp; environmental epidemiology", "id" : "ITEM-1", "issue" : "3", "issued" : { "date-parts" : [ [ "2013", "3", "27" ] ] }, "page" : "259-267", "publisher" : "Nature Publishing Group", "title" : "Development of temporally refined land-use regression models predicting daily household-level air pollution in a panel study of lung function among asthmatic children.", "type" : "article-journal", "volume" : "23" }, "uris" : [ "http://www.mendeley.com/documents/?uuid=0e639929-25e1-4af3-8c72-46c85dcf44cd" ] } ], "mendeley" : { "previouslyFormattedCitation" : "[2]" }, "properties" : { "noteIndex" : 0 }, "schema" : "https://github.com/citation-style-language/schema/raw/master/csl-citation.json" }</w:instrText>
      </w:r>
      <w:r w:rsidR="001B0E63">
        <w:fldChar w:fldCharType="separate"/>
      </w:r>
      <w:r w:rsidR="006A3C65" w:rsidRPr="006A3C65">
        <w:rPr>
          <w:noProof/>
        </w:rPr>
        <w:t>[2]</w:t>
      </w:r>
      <w:r w:rsidR="001B0E63">
        <w:fldChar w:fldCharType="end"/>
      </w:r>
      <w:r w:rsidR="006A3C65">
        <w:t>)</w:t>
      </w:r>
      <w:r w:rsidR="008F4B09">
        <w:t>. In this setup within session variability would represent a purely spatial signal (i.e., within a single monitoring session there will be no temporal</w:t>
      </w:r>
      <w:r>
        <w:t xml:space="preserve"> variation</w:t>
      </w:r>
      <w:r w:rsidR="008F4B09">
        <w:t xml:space="preserve"> between locations) and the residual variation would </w:t>
      </w:r>
      <w:r w:rsidR="009D4DB7">
        <w:t xml:space="preserve">approximately </w:t>
      </w:r>
      <w:r w:rsidR="008F4B09">
        <w:t>represent the temporal signal</w:t>
      </w:r>
      <w:r w:rsidR="006A3C65">
        <w:t xml:space="preserve"> (plus measurement error and any residual spatial variation associated with different monitors operating in different sessions)</w:t>
      </w:r>
      <w:r w:rsidR="008F4B09">
        <w:t xml:space="preserve">. </w:t>
      </w:r>
      <w:r w:rsidR="001E1E34">
        <w:t xml:space="preserve">Based on this approach 56% of overall variation in </w:t>
      </w:r>
      <w:r w:rsidR="001E1E34" w:rsidRPr="00AD7A4F">
        <w:rPr>
          <w:color w:val="000000"/>
        </w:rPr>
        <w:t>PM</w:t>
      </w:r>
      <w:r w:rsidR="001E1E34" w:rsidRPr="00AD7A4F">
        <w:rPr>
          <w:color w:val="000000"/>
          <w:vertAlign w:val="subscript"/>
        </w:rPr>
        <w:t>2.5</w:t>
      </w:r>
      <w:r w:rsidR="001E1E34">
        <w:t xml:space="preserve"> is temporal and 44% is spatial. For </w:t>
      </w:r>
      <w:r w:rsidR="001E1E34" w:rsidRPr="00EB2035">
        <w:t>NO</w:t>
      </w:r>
      <w:r w:rsidR="001E1E34" w:rsidRPr="00EB2035">
        <w:rPr>
          <w:vertAlign w:val="subscript"/>
        </w:rPr>
        <w:t>2</w:t>
      </w:r>
      <w:r w:rsidR="001E1E34">
        <w:t xml:space="preserve"> 18% of overall variation is temporal and 82% is spatial. </w:t>
      </w:r>
      <w:r w:rsidR="009D4DB7">
        <w:t xml:space="preserve">Note </w:t>
      </w:r>
      <w:r w:rsidR="00B63BA4">
        <w:t xml:space="preserve">a nearly analogous approach – </w:t>
      </w:r>
      <w:proofErr w:type="gramStart"/>
      <w:r w:rsidR="009D4DB7">
        <w:t>regressing</w:t>
      </w:r>
      <w:proofErr w:type="gramEnd"/>
      <w:r w:rsidR="009D4DB7">
        <w:t xml:space="preserve"> the raw concentrations on the city-wide temporal patte</w:t>
      </w:r>
      <w:r w:rsidR="00B63BA4">
        <w:t>r</w:t>
      </w:r>
      <w:r w:rsidR="009D4DB7">
        <w:t>ns (which does not account for non-independence associated with repeated measurements at the same site)</w:t>
      </w:r>
      <w:r w:rsidR="00B63BA4">
        <w:t xml:space="preserve"> – </w:t>
      </w:r>
      <w:r w:rsidR="009D4DB7">
        <w:t xml:space="preserve">yields a similar estimate for the temporal contribution (54% for </w:t>
      </w:r>
      <w:r w:rsidR="009D4DB7" w:rsidRPr="00AD7A4F">
        <w:rPr>
          <w:color w:val="000000"/>
        </w:rPr>
        <w:t>PM</w:t>
      </w:r>
      <w:r w:rsidR="009D4DB7" w:rsidRPr="00AD7A4F">
        <w:rPr>
          <w:color w:val="000000"/>
          <w:vertAlign w:val="subscript"/>
        </w:rPr>
        <w:t>2.5</w:t>
      </w:r>
      <w:r w:rsidR="009D4DB7">
        <w:t xml:space="preserve"> and 18% for </w:t>
      </w:r>
      <w:r w:rsidR="009D4DB7" w:rsidRPr="00EB2035">
        <w:t>NO</w:t>
      </w:r>
      <w:r w:rsidR="009D4DB7" w:rsidRPr="00EB2035">
        <w:rPr>
          <w:vertAlign w:val="subscript"/>
        </w:rPr>
        <w:t>2</w:t>
      </w:r>
      <w:r w:rsidR="009D4DB7">
        <w:t xml:space="preserve">). </w:t>
      </w:r>
    </w:p>
    <w:p w:rsidR="008F4B09" w:rsidRDefault="008F4B09" w:rsidP="008F4B09"/>
    <w:p w:rsidR="008F4B09" w:rsidRDefault="00B63BA4" w:rsidP="008F4B09">
      <w:r>
        <w:t>The mixed modeling</w:t>
      </w:r>
      <w:r w:rsidR="008F4B09">
        <w:t xml:space="preserve"> approach </w:t>
      </w:r>
      <w:r w:rsidR="003D4937">
        <w:t>is</w:t>
      </w:r>
      <w:r w:rsidR="008F4B09">
        <w:t xml:space="preserve"> appropriate in the context of the validation of Year 2 concentrations because we have repeated measurements at individual locations. For the predictions at maternal residences, however, we do not have repeated measures. Although there are multiple estimates at a maternal address they are not mutually exclusive (the six week estimate is within the final trimester which is within the full gestation period) and they would be used individually in health models. Therefore, the breakdown of spatial and temporal variation in the maternal residence predictions is done separately for each estimate by </w:t>
      </w:r>
      <w:proofErr w:type="gramStart"/>
      <w:r w:rsidR="008F4B09">
        <w:t>regressing</w:t>
      </w:r>
      <w:proofErr w:type="gramEnd"/>
      <w:r w:rsidR="008F4B09">
        <w:t xml:space="preserve"> the </w:t>
      </w:r>
      <w:r w:rsidR="0045552E">
        <w:t>predictions against the city-wide time series'</w:t>
      </w:r>
      <w:r w:rsidR="009D5678">
        <w:t xml:space="preserve"> and presented in Table 3</w:t>
      </w:r>
      <w:r w:rsidR="0045552E">
        <w:t>.</w:t>
      </w:r>
    </w:p>
    <w:p w:rsidR="001E1E34" w:rsidRDefault="001E1E34" w:rsidP="008F4B09"/>
    <w:p w:rsidR="000A34B0" w:rsidRDefault="000A34B0" w:rsidP="000A34B0">
      <w:pPr>
        <w:rPr>
          <w:b/>
        </w:rPr>
      </w:pPr>
      <w:r>
        <w:rPr>
          <w:b/>
        </w:rPr>
        <w:t>Details on a comparison of the temporal adjustment approach against the "nearest monitor" approach</w:t>
      </w:r>
    </w:p>
    <w:p w:rsidR="000A34B0" w:rsidRDefault="000A34B0" w:rsidP="000A34B0">
      <w:pPr>
        <w:rPr>
          <w:b/>
        </w:rPr>
      </w:pPr>
    </w:p>
    <w:p w:rsidR="000A34B0" w:rsidRDefault="000A34B0" w:rsidP="000A34B0">
      <w:r>
        <w:t>For comparison with the temporal adjustment approach we computed exposure estimates based on the concentrations at the nearest monitor. The nearest monitor approach is common in air pollution epidemiology and we felt it would provide a</w:t>
      </w:r>
      <w:r w:rsidR="006A3C65">
        <w:t xml:space="preserve"> useful</w:t>
      </w:r>
      <w:r>
        <w:t xml:space="preserve"> comparison. For the purposes of the nearest monitor calculations, the monitors were not limited to monitors with complete data across the four years – instead all </w:t>
      </w:r>
      <w:r w:rsidRPr="00EB2035">
        <w:t>NO</w:t>
      </w:r>
      <w:r w:rsidRPr="00EB2035">
        <w:rPr>
          <w:vertAlign w:val="subscript"/>
        </w:rPr>
        <w:t>2</w:t>
      </w:r>
      <w:r>
        <w:t xml:space="preserve"> and </w:t>
      </w:r>
      <w:r w:rsidRPr="00AD7A4F">
        <w:rPr>
          <w:color w:val="000000"/>
        </w:rPr>
        <w:t>PM</w:t>
      </w:r>
      <w:r w:rsidRPr="00AD7A4F">
        <w:rPr>
          <w:color w:val="000000"/>
          <w:vertAlign w:val="subscript"/>
        </w:rPr>
        <w:t>2.5</w:t>
      </w:r>
      <w:r>
        <w:t xml:space="preserve"> (FRM) monitors with complete data during a particular two-week session were included. The predictions were compared to measured concentrations using </w:t>
      </w:r>
      <w:r w:rsidR="008C7C88" w:rsidRPr="00A21DC2">
        <w:t>R</w:t>
      </w:r>
      <w:r w:rsidR="008C7C88" w:rsidRPr="00A21DC2">
        <w:rPr>
          <w:vertAlign w:val="superscript"/>
        </w:rPr>
        <w:t>2</w:t>
      </w:r>
      <w:r w:rsidR="008C7C88">
        <w:t xml:space="preserve"> </w:t>
      </w:r>
      <w:r>
        <w:t>and mean absolute percentage error</w:t>
      </w:r>
    </w:p>
    <w:p w:rsidR="000A34B0" w:rsidRDefault="000A34B0" w:rsidP="000A34B0"/>
    <w:p w:rsidR="000A34B0" w:rsidRDefault="000A34B0" w:rsidP="000A34B0">
      <w:r>
        <w:t xml:space="preserve">Predictions of two-week concentrations from the two approaches (temporal adjustment and nearest monitor) at validation locations in Year 2 were strongly correlated for </w:t>
      </w:r>
      <w:r w:rsidRPr="00AD7A4F">
        <w:rPr>
          <w:color w:val="000000"/>
        </w:rPr>
        <w:t>PM</w:t>
      </w:r>
      <w:r w:rsidRPr="00AD7A4F">
        <w:rPr>
          <w:color w:val="000000"/>
          <w:vertAlign w:val="subscript"/>
        </w:rPr>
        <w:t>2.5</w:t>
      </w:r>
      <w:r>
        <w:t xml:space="preserve"> (r=</w:t>
      </w:r>
      <w:r w:rsidR="007C618A">
        <w:t>0.77</w:t>
      </w:r>
      <w:r w:rsidR="006A3C65">
        <w:t xml:space="preserve"> </w:t>
      </w:r>
      <w:r>
        <w:t xml:space="preserve">for Year 2). The two approaches were less correlated for </w:t>
      </w:r>
      <w:r w:rsidRPr="00EB2035">
        <w:t>NO</w:t>
      </w:r>
      <w:r w:rsidRPr="00EB2035">
        <w:rPr>
          <w:vertAlign w:val="subscript"/>
        </w:rPr>
        <w:t>2</w:t>
      </w:r>
      <w:r>
        <w:t xml:space="preserve"> (r=</w:t>
      </w:r>
      <w:r w:rsidR="007C618A">
        <w:t>0.60</w:t>
      </w:r>
      <w:r>
        <w:t xml:space="preserve">). </w:t>
      </w:r>
    </w:p>
    <w:p w:rsidR="000A34B0" w:rsidRDefault="000A34B0" w:rsidP="000A34B0"/>
    <w:p w:rsidR="003E352C" w:rsidRDefault="000A34B0" w:rsidP="000A34B0">
      <w:r>
        <w:t xml:space="preserve">For both </w:t>
      </w:r>
      <w:r w:rsidRPr="00AD7A4F">
        <w:rPr>
          <w:color w:val="000000"/>
        </w:rPr>
        <w:t>PM</w:t>
      </w:r>
      <w:r w:rsidRPr="00AD7A4F">
        <w:rPr>
          <w:color w:val="000000"/>
          <w:vertAlign w:val="subscript"/>
        </w:rPr>
        <w:t>2.5</w:t>
      </w:r>
      <w:r>
        <w:t xml:space="preserve"> and </w:t>
      </w:r>
      <w:r w:rsidRPr="00EB2035">
        <w:t>NO</w:t>
      </w:r>
      <w:r w:rsidRPr="00EB2035">
        <w:rPr>
          <w:vertAlign w:val="subscript"/>
        </w:rPr>
        <w:t>2</w:t>
      </w:r>
      <w:r>
        <w:t xml:space="preserve"> predictions using</w:t>
      </w:r>
      <w:r w:rsidR="006A3C65">
        <w:t xml:space="preserve"> the</w:t>
      </w:r>
      <w:r>
        <w:t xml:space="preserve"> temporal adjustment </w:t>
      </w:r>
      <w:r w:rsidR="006A3C65">
        <w:t xml:space="preserve">approach outlined in the main paper </w:t>
      </w:r>
      <w:r>
        <w:t xml:space="preserve">were significantly better than the nearest neighbor approach (Table </w:t>
      </w:r>
      <w:r w:rsidR="008C7C88">
        <w:t>1</w:t>
      </w:r>
      <w:r>
        <w:t xml:space="preserve">). Temporal adjustment, on average yielded about half the mean absolute percentage error as the nearest monitor approach and resulted in 2-3 times more predictions within 5% of actual values. The </w:t>
      </w:r>
      <w:r w:rsidRPr="00A21DC2">
        <w:t>R</w:t>
      </w:r>
      <w:r w:rsidRPr="00A21DC2">
        <w:rPr>
          <w:vertAlign w:val="superscript"/>
        </w:rPr>
        <w:t>2</w:t>
      </w:r>
      <w:r>
        <w:t xml:space="preserve"> value for predictions of </w:t>
      </w:r>
      <w:r w:rsidRPr="00AD7A4F">
        <w:rPr>
          <w:color w:val="000000"/>
        </w:rPr>
        <w:t>PM</w:t>
      </w:r>
      <w:r w:rsidRPr="00AD7A4F">
        <w:rPr>
          <w:color w:val="000000"/>
          <w:vertAlign w:val="subscript"/>
        </w:rPr>
        <w:t>2.5</w:t>
      </w:r>
      <w:r>
        <w:t xml:space="preserve"> against actual concentrations</w:t>
      </w:r>
      <w:r w:rsidR="006A3C65">
        <w:t xml:space="preserve"> using the nearest neighbor was 0.52 compared to</w:t>
      </w:r>
      <w:r>
        <w:t xml:space="preserve"> 0.</w:t>
      </w:r>
      <w:r w:rsidR="00CC3D62">
        <w:t>83</w:t>
      </w:r>
      <w:r w:rsidR="006A3C65">
        <w:t xml:space="preserve"> for proportional </w:t>
      </w:r>
      <w:proofErr w:type="gramStart"/>
      <w:r w:rsidR="006A3C65">
        <w:lastRenderedPageBreak/>
        <w:t xml:space="preserve">adjustment </w:t>
      </w:r>
      <w:r w:rsidR="00CC3D62">
        <w:t xml:space="preserve"> </w:t>
      </w:r>
      <w:r>
        <w:t>for</w:t>
      </w:r>
      <w:proofErr w:type="gramEnd"/>
      <w:r>
        <w:t xml:space="preserve"> Year 2 (Figure 3). For </w:t>
      </w:r>
      <w:r w:rsidRPr="00EB2035">
        <w:t>NO</w:t>
      </w:r>
      <w:r w:rsidRPr="00EB2035">
        <w:rPr>
          <w:vertAlign w:val="subscript"/>
        </w:rPr>
        <w:t>2</w:t>
      </w:r>
      <w:r>
        <w:t xml:space="preserve"> the </w:t>
      </w:r>
      <w:r w:rsidRPr="00A21DC2">
        <w:t>R</w:t>
      </w:r>
      <w:r w:rsidRPr="00A21DC2">
        <w:rPr>
          <w:vertAlign w:val="superscript"/>
        </w:rPr>
        <w:t>2</w:t>
      </w:r>
      <w:r>
        <w:t xml:space="preserve"> value for Year 2</w:t>
      </w:r>
      <w:r w:rsidR="006A3C65">
        <w:t xml:space="preserve"> using nearest monitor was 0.23 compared to </w:t>
      </w:r>
      <w:r w:rsidR="00CC3D62">
        <w:t>0.79</w:t>
      </w:r>
      <w:r w:rsidR="006A3C65">
        <w:t xml:space="preserve"> for nearest monitor</w:t>
      </w:r>
      <w:r>
        <w:t xml:space="preserve">. </w:t>
      </w:r>
    </w:p>
    <w:p w:rsidR="008949AC" w:rsidRDefault="008949AC" w:rsidP="000A34B0"/>
    <w:p w:rsidR="008C7C88" w:rsidRPr="003E352C" w:rsidRDefault="00DA2530" w:rsidP="000A34B0">
      <w:pPr>
        <w:rPr>
          <w:b/>
        </w:rPr>
      </w:pPr>
      <w:r w:rsidRPr="00DA2530">
        <w:rPr>
          <w:b/>
        </w:rPr>
        <w:t>References</w:t>
      </w:r>
    </w:p>
    <w:p w:rsidR="006A3C65" w:rsidRPr="006A3C65" w:rsidRDefault="001B0E63">
      <w:pPr>
        <w:pStyle w:val="NormalWeb"/>
        <w:divId w:val="684481998"/>
        <w:rPr>
          <w:rFonts w:ascii="Calibri" w:hAnsi="Calibri"/>
          <w:noProof/>
          <w:sz w:val="22"/>
        </w:rPr>
      </w:pPr>
      <w:r>
        <w:fldChar w:fldCharType="begin" w:fldLock="1"/>
      </w:r>
      <w:r w:rsidR="008949AC">
        <w:instrText xml:space="preserve">ADDIN Mendeley Bibliography CSL_BIBLIOGRAPHY </w:instrText>
      </w:r>
      <w:r>
        <w:fldChar w:fldCharType="separate"/>
      </w:r>
      <w:r w:rsidR="006A3C65" w:rsidRPr="006A3C65">
        <w:rPr>
          <w:rFonts w:ascii="Calibri" w:hAnsi="Calibri"/>
          <w:noProof/>
          <w:sz w:val="22"/>
        </w:rPr>
        <w:t xml:space="preserve">1. Matte TD, Ross Z, Kheirbek I, Eisl H, Johnson S, Gorczynski JE, Kass D, Markowitz S, Pezeshki G, Clougherty JE: </w:t>
      </w:r>
      <w:r w:rsidR="006A3C65" w:rsidRPr="006A3C65">
        <w:rPr>
          <w:rFonts w:ascii="Calibri" w:hAnsi="Calibri"/>
          <w:b/>
          <w:bCs/>
          <w:noProof/>
          <w:sz w:val="22"/>
        </w:rPr>
        <w:t>Monitoring intra-urban spatial patterns of multiple combustion air pollutants in New York City: Design and implementation</w:t>
      </w:r>
      <w:r w:rsidR="006A3C65" w:rsidRPr="006A3C65">
        <w:rPr>
          <w:rFonts w:ascii="Calibri" w:hAnsi="Calibri"/>
          <w:noProof/>
          <w:sz w:val="22"/>
        </w:rPr>
        <w:t xml:space="preserve">. </w:t>
      </w:r>
      <w:r w:rsidR="006A3C65" w:rsidRPr="006A3C65">
        <w:rPr>
          <w:rFonts w:ascii="Calibri" w:hAnsi="Calibri"/>
          <w:i/>
          <w:iCs/>
          <w:noProof/>
          <w:sz w:val="22"/>
        </w:rPr>
        <w:t>Journal of Exposure Science and Environmental Epidemiology</w:t>
      </w:r>
      <w:r w:rsidR="006A3C65" w:rsidRPr="006A3C65">
        <w:rPr>
          <w:rFonts w:ascii="Calibri" w:hAnsi="Calibri"/>
          <w:noProof/>
          <w:sz w:val="22"/>
        </w:rPr>
        <w:t xml:space="preserve"> 2013, </w:t>
      </w:r>
      <w:r w:rsidR="006A3C65" w:rsidRPr="006A3C65">
        <w:rPr>
          <w:rFonts w:ascii="Calibri" w:hAnsi="Calibri"/>
          <w:b/>
          <w:bCs/>
          <w:noProof/>
          <w:sz w:val="22"/>
        </w:rPr>
        <w:t>23</w:t>
      </w:r>
      <w:r w:rsidR="006A3C65" w:rsidRPr="006A3C65">
        <w:rPr>
          <w:rFonts w:ascii="Calibri" w:hAnsi="Calibri"/>
          <w:noProof/>
          <w:sz w:val="22"/>
        </w:rPr>
        <w:t>:223–231.</w:t>
      </w:r>
    </w:p>
    <w:p w:rsidR="006A3C65" w:rsidRPr="006A3C65" w:rsidRDefault="006A3C65">
      <w:pPr>
        <w:pStyle w:val="NormalWeb"/>
        <w:divId w:val="684481998"/>
        <w:rPr>
          <w:rFonts w:ascii="Calibri" w:hAnsi="Calibri"/>
          <w:noProof/>
          <w:sz w:val="22"/>
        </w:rPr>
      </w:pPr>
      <w:r w:rsidRPr="006A3C65">
        <w:rPr>
          <w:rFonts w:ascii="Calibri" w:hAnsi="Calibri"/>
          <w:noProof/>
          <w:sz w:val="22"/>
        </w:rPr>
        <w:t xml:space="preserve">2. Johnson M, Macneill M, Grgicak-Mannion A, Nethery E, Xu X, Dales R, Rasmussen P, Wheeler A: </w:t>
      </w:r>
      <w:r w:rsidRPr="006A3C65">
        <w:rPr>
          <w:rFonts w:ascii="Calibri" w:hAnsi="Calibri"/>
          <w:b/>
          <w:bCs/>
          <w:noProof/>
          <w:sz w:val="22"/>
        </w:rPr>
        <w:t>Development of temporally refined land-use regression models predicting daily household-level air pollution in a panel study of lung function among asthmatic children.</w:t>
      </w:r>
      <w:r w:rsidRPr="006A3C65">
        <w:rPr>
          <w:rFonts w:ascii="Calibri" w:hAnsi="Calibri"/>
          <w:noProof/>
          <w:sz w:val="22"/>
        </w:rPr>
        <w:t xml:space="preserve"> </w:t>
      </w:r>
      <w:r w:rsidRPr="006A3C65">
        <w:rPr>
          <w:rFonts w:ascii="Calibri" w:hAnsi="Calibri"/>
          <w:i/>
          <w:iCs/>
          <w:noProof/>
          <w:sz w:val="22"/>
        </w:rPr>
        <w:t>Journal of Exposure Science &amp; Environmental Epidemiology</w:t>
      </w:r>
      <w:r w:rsidRPr="006A3C65">
        <w:rPr>
          <w:rFonts w:ascii="Calibri" w:hAnsi="Calibri"/>
          <w:noProof/>
          <w:sz w:val="22"/>
        </w:rPr>
        <w:t xml:space="preserve"> 2013, </w:t>
      </w:r>
      <w:r w:rsidRPr="006A3C65">
        <w:rPr>
          <w:rFonts w:ascii="Calibri" w:hAnsi="Calibri"/>
          <w:b/>
          <w:bCs/>
          <w:noProof/>
          <w:sz w:val="22"/>
        </w:rPr>
        <w:t>23</w:t>
      </w:r>
      <w:r w:rsidRPr="006A3C65">
        <w:rPr>
          <w:rFonts w:ascii="Calibri" w:hAnsi="Calibri"/>
          <w:noProof/>
          <w:sz w:val="22"/>
        </w:rPr>
        <w:t xml:space="preserve">:259–267. </w:t>
      </w:r>
    </w:p>
    <w:p w:rsidR="008949AC" w:rsidRDefault="001B0E63" w:rsidP="006A3C65">
      <w:pPr>
        <w:pStyle w:val="NormalWeb"/>
        <w:divId w:val="1545602166"/>
      </w:pPr>
      <w:r>
        <w:fldChar w:fldCharType="end"/>
      </w:r>
    </w:p>
    <w:p w:rsidR="00EC154D" w:rsidRDefault="00EC154D" w:rsidP="000A34B0"/>
    <w:p w:rsidR="000A34B0" w:rsidRPr="00EC154D" w:rsidRDefault="00EC154D" w:rsidP="000A34B0">
      <w:pPr>
        <w:rPr>
          <w:b/>
        </w:rPr>
      </w:pPr>
      <w:r w:rsidRPr="00EC154D">
        <w:rPr>
          <w:b/>
        </w:rPr>
        <w:t>Additional File: Table 1</w:t>
      </w:r>
      <w:r w:rsidR="00A82EB1">
        <w:rPr>
          <w:b/>
        </w:rPr>
        <w:t xml:space="preserve"> – comparison of validation predictions using the proportional and nearest monitor approach.</w:t>
      </w:r>
    </w:p>
    <w:tbl>
      <w:tblPr>
        <w:tblW w:w="10478" w:type="dxa"/>
        <w:tblCellMar>
          <w:left w:w="0" w:type="dxa"/>
          <w:right w:w="0" w:type="dxa"/>
        </w:tblCellMar>
        <w:tblLook w:val="04A0"/>
      </w:tblPr>
      <w:tblGrid>
        <w:gridCol w:w="1032"/>
        <w:gridCol w:w="2396"/>
        <w:gridCol w:w="487"/>
        <w:gridCol w:w="643"/>
        <w:gridCol w:w="935"/>
        <w:gridCol w:w="623"/>
        <w:gridCol w:w="1032"/>
        <w:gridCol w:w="1032"/>
        <w:gridCol w:w="1149"/>
        <w:gridCol w:w="1149"/>
      </w:tblGrid>
      <w:tr w:rsidR="00A5309E" w:rsidTr="00AB4211">
        <w:trPr>
          <w:trHeight w:val="294"/>
        </w:trPr>
        <w:tc>
          <w:tcPr>
            <w:tcW w:w="1032" w:type="dxa"/>
            <w:tcBorders>
              <w:top w:val="single" w:sz="4" w:space="0" w:color="auto"/>
              <w:left w:val="single" w:sz="4" w:space="0" w:color="auto"/>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center"/>
              <w:rPr>
                <w:rFonts w:ascii="Calibri" w:hAnsi="Calibri"/>
                <w:b/>
                <w:bCs/>
                <w:color w:val="000000"/>
              </w:rPr>
            </w:pPr>
            <w:r>
              <w:rPr>
                <w:rFonts w:ascii="Calibri" w:hAnsi="Calibri"/>
                <w:b/>
                <w:bCs/>
                <w:color w:val="000000"/>
              </w:rPr>
              <w:t>Pollutant</w:t>
            </w:r>
          </w:p>
        </w:tc>
        <w:tc>
          <w:tcPr>
            <w:tcW w:w="2396"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hideMark/>
          </w:tcPr>
          <w:p w:rsidR="00A5309E" w:rsidRDefault="00A5309E">
            <w:pPr>
              <w:jc w:val="center"/>
              <w:rPr>
                <w:rFonts w:ascii="Calibri" w:hAnsi="Calibri"/>
                <w:b/>
                <w:bCs/>
                <w:color w:val="000000"/>
              </w:rPr>
            </w:pPr>
            <w:r>
              <w:rPr>
                <w:rFonts w:ascii="Calibri" w:hAnsi="Calibri"/>
                <w:b/>
                <w:bCs/>
                <w:color w:val="000000"/>
              </w:rPr>
              <w:t>Method</w:t>
            </w:r>
          </w:p>
        </w:tc>
        <w:tc>
          <w:tcPr>
            <w:tcW w:w="487"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hideMark/>
          </w:tcPr>
          <w:p w:rsidR="00A5309E" w:rsidRDefault="00A5309E">
            <w:pPr>
              <w:jc w:val="center"/>
              <w:rPr>
                <w:rFonts w:ascii="Calibri" w:hAnsi="Calibri"/>
                <w:b/>
                <w:bCs/>
                <w:color w:val="000000"/>
              </w:rPr>
            </w:pPr>
            <w:r>
              <w:rPr>
                <w:rFonts w:ascii="Calibri" w:hAnsi="Calibri"/>
                <w:b/>
                <w:bCs/>
                <w:color w:val="000000"/>
              </w:rPr>
              <w:t>n</w:t>
            </w:r>
          </w:p>
        </w:tc>
        <w:tc>
          <w:tcPr>
            <w:tcW w:w="643"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hideMark/>
          </w:tcPr>
          <w:p w:rsidR="00A5309E" w:rsidRDefault="00A5309E">
            <w:pPr>
              <w:jc w:val="center"/>
              <w:rPr>
                <w:rFonts w:ascii="Calibri" w:hAnsi="Calibri"/>
                <w:b/>
                <w:bCs/>
                <w:color w:val="000000"/>
              </w:rPr>
            </w:pPr>
            <w:r>
              <w:rPr>
                <w:rFonts w:ascii="Calibri" w:hAnsi="Calibri"/>
                <w:b/>
                <w:bCs/>
                <w:color w:val="000000"/>
              </w:rPr>
              <w:t>MAPE</w:t>
            </w:r>
          </w:p>
        </w:tc>
        <w:tc>
          <w:tcPr>
            <w:tcW w:w="935"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hideMark/>
          </w:tcPr>
          <w:p w:rsidR="00A5309E" w:rsidRDefault="00A5309E">
            <w:pPr>
              <w:jc w:val="center"/>
              <w:rPr>
                <w:rFonts w:ascii="Calibri" w:hAnsi="Calibri"/>
                <w:b/>
                <w:bCs/>
                <w:color w:val="000000"/>
              </w:rPr>
            </w:pPr>
            <w:r>
              <w:rPr>
                <w:rFonts w:ascii="Calibri" w:hAnsi="Calibri"/>
                <w:b/>
                <w:bCs/>
                <w:color w:val="000000"/>
              </w:rPr>
              <w:t>Intercept</w:t>
            </w:r>
          </w:p>
        </w:tc>
        <w:tc>
          <w:tcPr>
            <w:tcW w:w="623"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hideMark/>
          </w:tcPr>
          <w:p w:rsidR="00A5309E" w:rsidRDefault="00A5309E">
            <w:pPr>
              <w:jc w:val="center"/>
              <w:rPr>
                <w:rFonts w:ascii="Calibri" w:hAnsi="Calibri"/>
                <w:b/>
                <w:bCs/>
                <w:color w:val="000000"/>
              </w:rPr>
            </w:pPr>
            <w:r>
              <w:rPr>
                <w:rFonts w:ascii="Calibri" w:hAnsi="Calibri"/>
                <w:b/>
                <w:bCs/>
                <w:color w:val="000000"/>
              </w:rPr>
              <w:t>Slope</w:t>
            </w:r>
          </w:p>
        </w:tc>
        <w:tc>
          <w:tcPr>
            <w:tcW w:w="1032" w:type="dxa"/>
            <w:tcBorders>
              <w:top w:val="single" w:sz="4" w:space="0" w:color="auto"/>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rPr>
                <w:rFonts w:ascii="Calibri" w:hAnsi="Calibri"/>
                <w:b/>
                <w:bCs/>
                <w:color w:val="000000"/>
              </w:rPr>
            </w:pPr>
            <w:r>
              <w:rPr>
                <w:rFonts w:ascii="Calibri" w:hAnsi="Calibri"/>
                <w:b/>
                <w:bCs/>
                <w:color w:val="000000"/>
              </w:rPr>
              <w:t>R-squared</w:t>
            </w:r>
          </w:p>
        </w:tc>
        <w:tc>
          <w:tcPr>
            <w:tcW w:w="1032" w:type="dxa"/>
            <w:tcBorders>
              <w:top w:val="single" w:sz="4" w:space="0" w:color="auto"/>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rPr>
                <w:rFonts w:ascii="Calibri" w:hAnsi="Calibri"/>
                <w:b/>
                <w:bCs/>
                <w:color w:val="000000"/>
              </w:rPr>
            </w:pPr>
            <w:r>
              <w:rPr>
                <w:rFonts w:ascii="Calibri" w:hAnsi="Calibri"/>
                <w:b/>
                <w:bCs/>
                <w:color w:val="000000"/>
              </w:rPr>
              <w:t>Within 5%</w:t>
            </w:r>
          </w:p>
        </w:tc>
        <w:tc>
          <w:tcPr>
            <w:tcW w:w="1149" w:type="dxa"/>
            <w:tcBorders>
              <w:top w:val="single" w:sz="4" w:space="0" w:color="auto"/>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rPr>
                <w:rFonts w:ascii="Calibri" w:hAnsi="Calibri"/>
                <w:b/>
                <w:bCs/>
                <w:color w:val="000000"/>
              </w:rPr>
            </w:pPr>
            <w:r>
              <w:rPr>
                <w:rFonts w:ascii="Calibri" w:hAnsi="Calibri"/>
                <w:b/>
                <w:bCs/>
                <w:color w:val="000000"/>
              </w:rPr>
              <w:t>Within 10%</w:t>
            </w:r>
          </w:p>
        </w:tc>
        <w:tc>
          <w:tcPr>
            <w:tcW w:w="1149" w:type="dxa"/>
            <w:tcBorders>
              <w:top w:val="single" w:sz="4" w:space="0" w:color="auto"/>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rPr>
                <w:rFonts w:ascii="Calibri" w:hAnsi="Calibri"/>
                <w:b/>
                <w:bCs/>
                <w:color w:val="000000"/>
              </w:rPr>
            </w:pPr>
            <w:r>
              <w:rPr>
                <w:rFonts w:ascii="Calibri" w:hAnsi="Calibri"/>
                <w:b/>
                <w:bCs/>
                <w:color w:val="000000"/>
              </w:rPr>
              <w:t>Within 20%</w:t>
            </w:r>
          </w:p>
        </w:tc>
      </w:tr>
      <w:tr w:rsidR="00A5309E" w:rsidTr="00AB4211">
        <w:trPr>
          <w:trHeight w:val="294"/>
        </w:trPr>
        <w:tc>
          <w:tcPr>
            <w:tcW w:w="0" w:type="auto"/>
            <w:tcBorders>
              <w:top w:val="nil"/>
              <w:left w:val="single" w:sz="4" w:space="0" w:color="auto"/>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r>
              <w:rPr>
                <w:rFonts w:ascii="Calibri" w:hAnsi="Calibri"/>
                <w:color w:val="000000"/>
              </w:rPr>
              <w:t>PM2.5</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r>
              <w:rPr>
                <w:rFonts w:ascii="Calibri" w:hAnsi="Calibri"/>
                <w:color w:val="000000"/>
              </w:rPr>
              <w:t>Proportional Adjustment</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597</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0.08</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0.45</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0.95</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0.83</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0.42</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0.70</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0.93</w:t>
            </w:r>
          </w:p>
        </w:tc>
      </w:tr>
      <w:tr w:rsidR="00A5309E" w:rsidTr="00AB4211">
        <w:trPr>
          <w:trHeight w:val="294"/>
        </w:trPr>
        <w:tc>
          <w:tcPr>
            <w:tcW w:w="0" w:type="auto"/>
            <w:tcBorders>
              <w:top w:val="nil"/>
              <w:left w:val="single" w:sz="4" w:space="0" w:color="auto"/>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r>
              <w:rPr>
                <w:rFonts w:ascii="Calibri" w:hAnsi="Calibri"/>
                <w:color w:val="000000"/>
              </w:rPr>
              <w:t>PM2.5</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r>
              <w:rPr>
                <w:rFonts w:ascii="Calibri" w:hAnsi="Calibri"/>
                <w:color w:val="000000"/>
              </w:rPr>
              <w:t>Nearest FRM Monitor</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597</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0.15</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1.44</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0.94</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0.52</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0.22</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0.41</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0.69</w:t>
            </w:r>
          </w:p>
        </w:tc>
      </w:tr>
      <w:tr w:rsidR="00A5309E" w:rsidTr="00AB4211">
        <w:trPr>
          <w:trHeight w:val="294"/>
        </w:trPr>
        <w:tc>
          <w:tcPr>
            <w:tcW w:w="0" w:type="auto"/>
            <w:tcBorders>
              <w:top w:val="nil"/>
              <w:left w:val="single" w:sz="4" w:space="0" w:color="auto"/>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r>
              <w:rPr>
                <w:rFonts w:ascii="Calibri" w:hAnsi="Calibri"/>
                <w:color w:val="000000"/>
              </w:rPr>
              <w:t> </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r>
              <w:rPr>
                <w:rFonts w:ascii="Calibri" w:hAnsi="Calibri"/>
                <w:color w:val="000000"/>
              </w:rPr>
              <w:t> </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r>
              <w:rPr>
                <w:rFonts w:ascii="Calibri" w:hAnsi="Calibri"/>
                <w:color w:val="000000"/>
              </w:rPr>
              <w:t> </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r>
              <w:rPr>
                <w:rFonts w:ascii="Calibri" w:hAnsi="Calibri"/>
                <w:color w:val="000000"/>
              </w:rPr>
              <w:t> </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r>
              <w:rPr>
                <w:rFonts w:ascii="Calibri" w:hAnsi="Calibri"/>
                <w:color w:val="000000"/>
              </w:rPr>
              <w:t> </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r>
              <w:rPr>
                <w:rFonts w:ascii="Calibri" w:hAnsi="Calibri"/>
                <w:color w:val="000000"/>
              </w:rPr>
              <w:t> </w:t>
            </w:r>
          </w:p>
        </w:tc>
        <w:tc>
          <w:tcPr>
            <w:tcW w:w="0" w:type="auto"/>
            <w:tcBorders>
              <w:top w:val="nil"/>
              <w:left w:val="nil"/>
              <w:bottom w:val="nil"/>
              <w:right w:val="nil"/>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p>
        </w:tc>
        <w:tc>
          <w:tcPr>
            <w:tcW w:w="0" w:type="auto"/>
            <w:tcBorders>
              <w:top w:val="nil"/>
              <w:left w:val="nil"/>
              <w:bottom w:val="nil"/>
              <w:right w:val="nil"/>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p>
        </w:tc>
        <w:tc>
          <w:tcPr>
            <w:tcW w:w="0" w:type="auto"/>
            <w:tcBorders>
              <w:top w:val="nil"/>
              <w:left w:val="nil"/>
              <w:bottom w:val="nil"/>
              <w:right w:val="nil"/>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p>
        </w:tc>
        <w:tc>
          <w:tcPr>
            <w:tcW w:w="0" w:type="auto"/>
            <w:tcBorders>
              <w:top w:val="nil"/>
              <w:left w:val="nil"/>
              <w:bottom w:val="nil"/>
              <w:right w:val="nil"/>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p>
        </w:tc>
      </w:tr>
      <w:tr w:rsidR="00A5309E" w:rsidTr="00AB4211">
        <w:trPr>
          <w:trHeight w:val="294"/>
        </w:trPr>
        <w:tc>
          <w:tcPr>
            <w:tcW w:w="0" w:type="auto"/>
            <w:tcBorders>
              <w:top w:val="nil"/>
              <w:left w:val="nil"/>
              <w:bottom w:val="nil"/>
              <w:right w:val="nil"/>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p>
        </w:tc>
        <w:tc>
          <w:tcPr>
            <w:tcW w:w="0" w:type="auto"/>
            <w:tcBorders>
              <w:top w:val="nil"/>
              <w:left w:val="nil"/>
              <w:bottom w:val="nil"/>
              <w:right w:val="nil"/>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p>
        </w:tc>
        <w:tc>
          <w:tcPr>
            <w:tcW w:w="0" w:type="auto"/>
            <w:tcBorders>
              <w:top w:val="nil"/>
              <w:left w:val="nil"/>
              <w:bottom w:val="nil"/>
              <w:right w:val="nil"/>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p>
        </w:tc>
        <w:tc>
          <w:tcPr>
            <w:tcW w:w="0" w:type="auto"/>
            <w:tcBorders>
              <w:top w:val="nil"/>
              <w:left w:val="nil"/>
              <w:bottom w:val="nil"/>
              <w:right w:val="nil"/>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p>
        </w:tc>
        <w:tc>
          <w:tcPr>
            <w:tcW w:w="0" w:type="auto"/>
            <w:tcBorders>
              <w:top w:val="nil"/>
              <w:left w:val="nil"/>
              <w:bottom w:val="nil"/>
              <w:right w:val="nil"/>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p>
        </w:tc>
        <w:tc>
          <w:tcPr>
            <w:tcW w:w="0" w:type="auto"/>
            <w:tcBorders>
              <w:top w:val="nil"/>
              <w:left w:val="nil"/>
              <w:bottom w:val="nil"/>
              <w:right w:val="nil"/>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p>
        </w:tc>
        <w:tc>
          <w:tcPr>
            <w:tcW w:w="0" w:type="auto"/>
            <w:tcBorders>
              <w:top w:val="nil"/>
              <w:left w:val="nil"/>
              <w:bottom w:val="nil"/>
              <w:right w:val="nil"/>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p>
        </w:tc>
        <w:tc>
          <w:tcPr>
            <w:tcW w:w="0" w:type="auto"/>
            <w:tcBorders>
              <w:top w:val="nil"/>
              <w:left w:val="nil"/>
              <w:bottom w:val="nil"/>
              <w:right w:val="nil"/>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p>
        </w:tc>
        <w:tc>
          <w:tcPr>
            <w:tcW w:w="0" w:type="auto"/>
            <w:tcBorders>
              <w:top w:val="nil"/>
              <w:left w:val="nil"/>
              <w:bottom w:val="nil"/>
              <w:right w:val="nil"/>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p>
        </w:tc>
        <w:tc>
          <w:tcPr>
            <w:tcW w:w="0" w:type="auto"/>
            <w:tcBorders>
              <w:top w:val="nil"/>
              <w:left w:val="nil"/>
              <w:bottom w:val="nil"/>
              <w:right w:val="nil"/>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p>
        </w:tc>
      </w:tr>
      <w:tr w:rsidR="00A5309E" w:rsidTr="00AB4211">
        <w:trPr>
          <w:trHeight w:val="294"/>
        </w:trPr>
        <w:tc>
          <w:tcPr>
            <w:tcW w:w="0" w:type="auto"/>
            <w:tcBorders>
              <w:top w:val="nil"/>
              <w:left w:val="nil"/>
              <w:bottom w:val="nil"/>
              <w:right w:val="nil"/>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p>
        </w:tc>
        <w:tc>
          <w:tcPr>
            <w:tcW w:w="0" w:type="auto"/>
            <w:tcBorders>
              <w:top w:val="nil"/>
              <w:left w:val="nil"/>
              <w:bottom w:val="nil"/>
              <w:right w:val="nil"/>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p>
        </w:tc>
        <w:tc>
          <w:tcPr>
            <w:tcW w:w="0" w:type="auto"/>
            <w:tcBorders>
              <w:top w:val="nil"/>
              <w:left w:val="nil"/>
              <w:bottom w:val="nil"/>
              <w:right w:val="nil"/>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p>
        </w:tc>
        <w:tc>
          <w:tcPr>
            <w:tcW w:w="0" w:type="auto"/>
            <w:tcBorders>
              <w:top w:val="nil"/>
              <w:left w:val="nil"/>
              <w:bottom w:val="nil"/>
              <w:right w:val="nil"/>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p>
        </w:tc>
        <w:tc>
          <w:tcPr>
            <w:tcW w:w="0" w:type="auto"/>
            <w:tcBorders>
              <w:top w:val="nil"/>
              <w:left w:val="nil"/>
              <w:bottom w:val="nil"/>
              <w:right w:val="nil"/>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p>
        </w:tc>
        <w:tc>
          <w:tcPr>
            <w:tcW w:w="0" w:type="auto"/>
            <w:tcBorders>
              <w:top w:val="nil"/>
              <w:left w:val="nil"/>
              <w:bottom w:val="nil"/>
              <w:right w:val="nil"/>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p>
        </w:tc>
        <w:tc>
          <w:tcPr>
            <w:tcW w:w="0" w:type="auto"/>
            <w:tcBorders>
              <w:top w:val="nil"/>
              <w:left w:val="nil"/>
              <w:bottom w:val="nil"/>
              <w:right w:val="nil"/>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p>
        </w:tc>
        <w:tc>
          <w:tcPr>
            <w:tcW w:w="0" w:type="auto"/>
            <w:tcBorders>
              <w:top w:val="nil"/>
              <w:left w:val="nil"/>
              <w:bottom w:val="nil"/>
              <w:right w:val="nil"/>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p>
        </w:tc>
        <w:tc>
          <w:tcPr>
            <w:tcW w:w="0" w:type="auto"/>
            <w:tcBorders>
              <w:top w:val="nil"/>
              <w:left w:val="nil"/>
              <w:bottom w:val="nil"/>
              <w:right w:val="nil"/>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p>
        </w:tc>
        <w:tc>
          <w:tcPr>
            <w:tcW w:w="0" w:type="auto"/>
            <w:tcBorders>
              <w:top w:val="nil"/>
              <w:left w:val="nil"/>
              <w:bottom w:val="nil"/>
              <w:right w:val="nil"/>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p>
        </w:tc>
      </w:tr>
      <w:tr w:rsidR="00A5309E" w:rsidTr="00AB4211">
        <w:trPr>
          <w:trHeight w:val="294"/>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center"/>
              <w:rPr>
                <w:rFonts w:ascii="Calibri" w:hAnsi="Calibri"/>
                <w:b/>
                <w:bCs/>
                <w:color w:val="000000"/>
              </w:rPr>
            </w:pPr>
            <w:r>
              <w:rPr>
                <w:rFonts w:ascii="Calibri" w:hAnsi="Calibri"/>
                <w:b/>
                <w:bCs/>
                <w:color w:val="000000"/>
              </w:rPr>
              <w:t>Pollutant</w:t>
            </w:r>
          </w:p>
        </w:tc>
        <w:tc>
          <w:tcPr>
            <w:tcW w:w="2396"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hideMark/>
          </w:tcPr>
          <w:p w:rsidR="00A5309E" w:rsidRDefault="00A5309E">
            <w:pPr>
              <w:jc w:val="center"/>
              <w:rPr>
                <w:rFonts w:ascii="Calibri" w:hAnsi="Calibri"/>
                <w:b/>
                <w:bCs/>
                <w:color w:val="000000"/>
              </w:rPr>
            </w:pPr>
            <w:r>
              <w:rPr>
                <w:rFonts w:ascii="Calibri" w:hAnsi="Calibri"/>
                <w:b/>
                <w:bCs/>
                <w:color w:val="000000"/>
              </w:rPr>
              <w:t>Method</w:t>
            </w:r>
          </w:p>
        </w:tc>
        <w:tc>
          <w:tcPr>
            <w:tcW w:w="487"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hideMark/>
          </w:tcPr>
          <w:p w:rsidR="00A5309E" w:rsidRDefault="00A5309E">
            <w:pPr>
              <w:jc w:val="center"/>
              <w:rPr>
                <w:rFonts w:ascii="Calibri" w:hAnsi="Calibri"/>
                <w:b/>
                <w:bCs/>
                <w:color w:val="000000"/>
              </w:rPr>
            </w:pPr>
            <w:r>
              <w:rPr>
                <w:rFonts w:ascii="Calibri" w:hAnsi="Calibri"/>
                <w:b/>
                <w:bCs/>
                <w:color w:val="000000"/>
              </w:rPr>
              <w:t>n</w:t>
            </w:r>
          </w:p>
        </w:tc>
        <w:tc>
          <w:tcPr>
            <w:tcW w:w="643"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hideMark/>
          </w:tcPr>
          <w:p w:rsidR="00A5309E" w:rsidRDefault="00A5309E">
            <w:pPr>
              <w:jc w:val="center"/>
              <w:rPr>
                <w:rFonts w:ascii="Calibri" w:hAnsi="Calibri"/>
                <w:b/>
                <w:bCs/>
                <w:color w:val="000000"/>
              </w:rPr>
            </w:pPr>
            <w:r>
              <w:rPr>
                <w:rFonts w:ascii="Calibri" w:hAnsi="Calibri"/>
                <w:b/>
                <w:bCs/>
                <w:color w:val="000000"/>
              </w:rPr>
              <w:t>MAPE</w:t>
            </w:r>
          </w:p>
        </w:tc>
        <w:tc>
          <w:tcPr>
            <w:tcW w:w="935"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hideMark/>
          </w:tcPr>
          <w:p w:rsidR="00A5309E" w:rsidRDefault="00A5309E">
            <w:pPr>
              <w:jc w:val="center"/>
              <w:rPr>
                <w:rFonts w:ascii="Calibri" w:hAnsi="Calibri"/>
                <w:b/>
                <w:bCs/>
                <w:color w:val="000000"/>
              </w:rPr>
            </w:pPr>
            <w:r>
              <w:rPr>
                <w:rFonts w:ascii="Calibri" w:hAnsi="Calibri"/>
                <w:b/>
                <w:bCs/>
                <w:color w:val="000000"/>
              </w:rPr>
              <w:t>Intercept</w:t>
            </w:r>
          </w:p>
        </w:tc>
        <w:tc>
          <w:tcPr>
            <w:tcW w:w="623" w:type="dxa"/>
            <w:tcBorders>
              <w:top w:val="single" w:sz="4" w:space="0" w:color="auto"/>
              <w:left w:val="nil"/>
              <w:bottom w:val="single" w:sz="4" w:space="0" w:color="auto"/>
              <w:right w:val="single" w:sz="4" w:space="0" w:color="auto"/>
            </w:tcBorders>
            <w:shd w:val="clear" w:color="auto" w:fill="auto"/>
            <w:tcMar>
              <w:top w:w="11" w:type="dxa"/>
              <w:left w:w="11" w:type="dxa"/>
              <w:bottom w:w="0" w:type="dxa"/>
              <w:right w:w="11" w:type="dxa"/>
            </w:tcMar>
            <w:vAlign w:val="bottom"/>
            <w:hideMark/>
          </w:tcPr>
          <w:p w:rsidR="00A5309E" w:rsidRDefault="00A5309E">
            <w:pPr>
              <w:jc w:val="center"/>
              <w:rPr>
                <w:rFonts w:ascii="Calibri" w:hAnsi="Calibri"/>
                <w:b/>
                <w:bCs/>
                <w:color w:val="000000"/>
              </w:rPr>
            </w:pPr>
            <w:r>
              <w:rPr>
                <w:rFonts w:ascii="Calibri" w:hAnsi="Calibri"/>
                <w:b/>
                <w:bCs/>
                <w:color w:val="000000"/>
              </w:rPr>
              <w:t>Slope</w:t>
            </w:r>
          </w:p>
        </w:tc>
        <w:tc>
          <w:tcPr>
            <w:tcW w:w="0" w:type="auto"/>
            <w:tcBorders>
              <w:top w:val="single" w:sz="4" w:space="0" w:color="auto"/>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rPr>
                <w:rFonts w:ascii="Calibri" w:hAnsi="Calibri"/>
                <w:b/>
                <w:bCs/>
                <w:color w:val="000000"/>
              </w:rPr>
            </w:pPr>
            <w:r>
              <w:rPr>
                <w:rFonts w:ascii="Calibri" w:hAnsi="Calibri"/>
                <w:b/>
                <w:bCs/>
                <w:color w:val="000000"/>
              </w:rPr>
              <w:t>R-squared</w:t>
            </w:r>
          </w:p>
        </w:tc>
        <w:tc>
          <w:tcPr>
            <w:tcW w:w="0" w:type="auto"/>
            <w:tcBorders>
              <w:top w:val="single" w:sz="4" w:space="0" w:color="auto"/>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rPr>
                <w:rFonts w:ascii="Calibri" w:hAnsi="Calibri"/>
                <w:b/>
                <w:bCs/>
                <w:color w:val="000000"/>
              </w:rPr>
            </w:pPr>
            <w:r>
              <w:rPr>
                <w:rFonts w:ascii="Calibri" w:hAnsi="Calibri"/>
                <w:b/>
                <w:bCs/>
                <w:color w:val="000000"/>
              </w:rPr>
              <w:t>Within 5%</w:t>
            </w:r>
          </w:p>
        </w:tc>
        <w:tc>
          <w:tcPr>
            <w:tcW w:w="0" w:type="auto"/>
            <w:tcBorders>
              <w:top w:val="single" w:sz="4" w:space="0" w:color="auto"/>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rPr>
                <w:rFonts w:ascii="Calibri" w:hAnsi="Calibri"/>
                <w:b/>
                <w:bCs/>
                <w:color w:val="000000"/>
              </w:rPr>
            </w:pPr>
            <w:r>
              <w:rPr>
                <w:rFonts w:ascii="Calibri" w:hAnsi="Calibri"/>
                <w:b/>
                <w:bCs/>
                <w:color w:val="000000"/>
              </w:rPr>
              <w:t>Within 10%</w:t>
            </w:r>
          </w:p>
        </w:tc>
        <w:tc>
          <w:tcPr>
            <w:tcW w:w="0" w:type="auto"/>
            <w:tcBorders>
              <w:top w:val="single" w:sz="4" w:space="0" w:color="auto"/>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rPr>
                <w:rFonts w:ascii="Calibri" w:hAnsi="Calibri"/>
                <w:b/>
                <w:bCs/>
                <w:color w:val="000000"/>
              </w:rPr>
            </w:pPr>
            <w:r>
              <w:rPr>
                <w:rFonts w:ascii="Calibri" w:hAnsi="Calibri"/>
                <w:b/>
                <w:bCs/>
                <w:color w:val="000000"/>
              </w:rPr>
              <w:t>Within 20%</w:t>
            </w:r>
          </w:p>
        </w:tc>
      </w:tr>
      <w:tr w:rsidR="00A5309E" w:rsidTr="00AB4211">
        <w:trPr>
          <w:trHeight w:val="294"/>
        </w:trPr>
        <w:tc>
          <w:tcPr>
            <w:tcW w:w="0" w:type="auto"/>
            <w:tcBorders>
              <w:top w:val="nil"/>
              <w:left w:val="single" w:sz="4" w:space="0" w:color="auto"/>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r>
              <w:rPr>
                <w:rFonts w:ascii="Calibri" w:hAnsi="Calibri"/>
                <w:color w:val="000000"/>
              </w:rPr>
              <w:t>NO2</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r>
              <w:rPr>
                <w:rFonts w:ascii="Calibri" w:hAnsi="Calibri"/>
                <w:color w:val="000000"/>
              </w:rPr>
              <w:t>Proportional Adjustment</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594</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0.12</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3.38</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0.87</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0.79</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0.30</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0.53</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0.83</w:t>
            </w:r>
          </w:p>
        </w:tc>
      </w:tr>
      <w:tr w:rsidR="00A5309E" w:rsidTr="00AB4211">
        <w:trPr>
          <w:trHeight w:val="294"/>
        </w:trPr>
        <w:tc>
          <w:tcPr>
            <w:tcW w:w="0" w:type="auto"/>
            <w:tcBorders>
              <w:top w:val="nil"/>
              <w:left w:val="single" w:sz="4" w:space="0" w:color="auto"/>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r>
              <w:rPr>
                <w:rFonts w:ascii="Calibri" w:hAnsi="Calibri"/>
                <w:color w:val="000000"/>
              </w:rPr>
              <w:t>NO2</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rPr>
                <w:rFonts w:ascii="Calibri" w:hAnsi="Calibri"/>
                <w:color w:val="000000"/>
              </w:rPr>
            </w:pPr>
            <w:r>
              <w:rPr>
                <w:rFonts w:ascii="Calibri" w:hAnsi="Calibri"/>
                <w:color w:val="000000"/>
              </w:rPr>
              <w:t>Nearest Monitor</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594</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0.25</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6.07</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0.95</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0.23</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0.10</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0.19</w:t>
            </w:r>
          </w:p>
        </w:tc>
        <w:tc>
          <w:tcPr>
            <w:tcW w:w="0" w:type="auto"/>
            <w:tcBorders>
              <w:top w:val="nil"/>
              <w:left w:val="nil"/>
              <w:bottom w:val="single" w:sz="4" w:space="0" w:color="auto"/>
              <w:right w:val="single" w:sz="4" w:space="0" w:color="auto"/>
            </w:tcBorders>
            <w:shd w:val="clear" w:color="auto" w:fill="auto"/>
            <w:noWrap/>
            <w:tcMar>
              <w:top w:w="11" w:type="dxa"/>
              <w:left w:w="11" w:type="dxa"/>
              <w:bottom w:w="0" w:type="dxa"/>
              <w:right w:w="11" w:type="dxa"/>
            </w:tcMar>
            <w:vAlign w:val="bottom"/>
            <w:hideMark/>
          </w:tcPr>
          <w:p w:rsidR="00A5309E" w:rsidRDefault="00A5309E">
            <w:pPr>
              <w:jc w:val="right"/>
              <w:rPr>
                <w:rFonts w:ascii="Calibri" w:hAnsi="Calibri"/>
                <w:color w:val="000000"/>
              </w:rPr>
            </w:pPr>
            <w:r>
              <w:rPr>
                <w:rFonts w:ascii="Calibri" w:hAnsi="Calibri"/>
                <w:color w:val="000000"/>
              </w:rPr>
              <w:t>0.44</w:t>
            </w:r>
          </w:p>
        </w:tc>
      </w:tr>
    </w:tbl>
    <w:p w:rsidR="00EC154D" w:rsidRDefault="00A5309E">
      <w:r>
        <w:t xml:space="preserve"> </w:t>
      </w:r>
      <w:r w:rsidR="00EC154D">
        <w:br w:type="page"/>
      </w:r>
    </w:p>
    <w:p w:rsidR="000A34B0" w:rsidRDefault="00EC154D" w:rsidP="000A34B0">
      <w:pPr>
        <w:rPr>
          <w:b/>
        </w:rPr>
      </w:pPr>
      <w:r w:rsidRPr="00A82EB1">
        <w:rPr>
          <w:b/>
        </w:rPr>
        <w:t>Additional File: Figures 1 &amp; 2</w:t>
      </w:r>
      <w:r w:rsidR="00A82EB1">
        <w:rPr>
          <w:b/>
        </w:rPr>
        <w:t xml:space="preserve"> – Predictions </w:t>
      </w:r>
      <w:proofErr w:type="spellStart"/>
      <w:r w:rsidR="00A82EB1">
        <w:rPr>
          <w:b/>
        </w:rPr>
        <w:t>vs</w:t>
      </w:r>
      <w:proofErr w:type="spellEnd"/>
      <w:r w:rsidR="00A82EB1">
        <w:rPr>
          <w:b/>
        </w:rPr>
        <w:t xml:space="preserve"> Measured concentrations using the proportional and nearest monitor approach.</w:t>
      </w:r>
    </w:p>
    <w:p w:rsidR="00FD4F6B" w:rsidRDefault="00FD4F6B" w:rsidP="000A34B0">
      <w:pPr>
        <w:rPr>
          <w:b/>
        </w:rPr>
      </w:pPr>
    </w:p>
    <w:p w:rsidR="00FD4F6B" w:rsidRDefault="00C1315B" w:rsidP="000A34B0">
      <w:pPr>
        <w:rPr>
          <w:b/>
        </w:rPr>
      </w:pPr>
      <w:r>
        <w:rPr>
          <w:b/>
          <w:noProof/>
        </w:rPr>
        <w:drawing>
          <wp:inline distT="0" distB="0" distL="0" distR="0">
            <wp:extent cx="5943600" cy="3241040"/>
            <wp:effectExtent l="19050" t="0" r="0" b="0"/>
            <wp:docPr id="2" name="Picture 2" descr="X:\projects\nyc_birth\products\papers_memos\spatial_temporal_methods\supporting_materials\Appendix_comparePreds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projects\nyc_birth\products\papers_memos\spatial_temporal_methods\supporting_materials\Appendix_comparePredsPM.jpg"/>
                    <pic:cNvPicPr>
                      <a:picLocks noChangeAspect="1" noChangeArrowheads="1"/>
                    </pic:cNvPicPr>
                  </pic:nvPicPr>
                  <pic:blipFill>
                    <a:blip r:embed="rId7" cstate="print"/>
                    <a:srcRect/>
                    <a:stretch>
                      <a:fillRect/>
                    </a:stretch>
                  </pic:blipFill>
                  <pic:spPr bwMode="auto">
                    <a:xfrm>
                      <a:off x="0" y="0"/>
                      <a:ext cx="5943600" cy="3241040"/>
                    </a:xfrm>
                    <a:prstGeom prst="rect">
                      <a:avLst/>
                    </a:prstGeom>
                    <a:noFill/>
                    <a:ln w="9525">
                      <a:noFill/>
                      <a:miter lim="800000"/>
                      <a:headEnd/>
                      <a:tailEnd/>
                    </a:ln>
                  </pic:spPr>
                </pic:pic>
              </a:graphicData>
            </a:graphic>
          </wp:inline>
        </w:drawing>
      </w:r>
    </w:p>
    <w:p w:rsidR="00FD4F6B" w:rsidRDefault="00FD4F6B" w:rsidP="000A34B0">
      <w:pPr>
        <w:rPr>
          <w:b/>
        </w:rPr>
      </w:pPr>
    </w:p>
    <w:p w:rsidR="00FD4F6B" w:rsidRPr="00A82EB1" w:rsidRDefault="00C1315B" w:rsidP="000A34B0">
      <w:pPr>
        <w:rPr>
          <w:b/>
        </w:rPr>
      </w:pPr>
      <w:r>
        <w:rPr>
          <w:b/>
          <w:noProof/>
        </w:rPr>
        <w:drawing>
          <wp:inline distT="0" distB="0" distL="0" distR="0">
            <wp:extent cx="5936615" cy="3227705"/>
            <wp:effectExtent l="19050" t="0" r="6985" b="0"/>
            <wp:docPr id="1" name="Picture 1" descr="X:\projects\nyc_birth\products\papers_memos\spatial_temporal_methods\supporting_materials\Appendix_comparePredsN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projects\nyc_birth\products\papers_memos\spatial_temporal_methods\supporting_materials\Appendix_comparePredsNO2.jpg"/>
                    <pic:cNvPicPr>
                      <a:picLocks noChangeAspect="1" noChangeArrowheads="1"/>
                    </pic:cNvPicPr>
                  </pic:nvPicPr>
                  <pic:blipFill>
                    <a:blip r:embed="rId8" cstate="print"/>
                    <a:srcRect/>
                    <a:stretch>
                      <a:fillRect/>
                    </a:stretch>
                  </pic:blipFill>
                  <pic:spPr bwMode="auto">
                    <a:xfrm>
                      <a:off x="0" y="0"/>
                      <a:ext cx="5936615" cy="3227705"/>
                    </a:xfrm>
                    <a:prstGeom prst="rect">
                      <a:avLst/>
                    </a:prstGeom>
                    <a:noFill/>
                    <a:ln w="9525">
                      <a:noFill/>
                      <a:miter lim="800000"/>
                      <a:headEnd/>
                      <a:tailEnd/>
                    </a:ln>
                  </pic:spPr>
                </pic:pic>
              </a:graphicData>
            </a:graphic>
          </wp:inline>
        </w:drawing>
      </w:r>
    </w:p>
    <w:p w:rsidR="000A34B0" w:rsidRDefault="000A34B0" w:rsidP="000A34B0">
      <w:pPr>
        <w:rPr>
          <w:b/>
        </w:rPr>
      </w:pPr>
    </w:p>
    <w:p w:rsidR="000A34B0" w:rsidRDefault="000A34B0" w:rsidP="000A34B0"/>
    <w:p w:rsidR="000A34B0" w:rsidRDefault="000A34B0" w:rsidP="000A34B0"/>
    <w:p w:rsidR="000A34B0" w:rsidRPr="001108CC" w:rsidRDefault="000A34B0" w:rsidP="000A34B0">
      <w:pPr>
        <w:rPr>
          <w:b/>
        </w:rPr>
      </w:pPr>
    </w:p>
    <w:p w:rsidR="00523FD8" w:rsidRDefault="00523FD8"/>
    <w:sectPr w:rsidR="00523FD8" w:rsidSect="00B67FFD">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4DB7" w:rsidRDefault="009D4DB7" w:rsidP="00C640D3">
      <w:r>
        <w:separator/>
      </w:r>
    </w:p>
  </w:endnote>
  <w:endnote w:type="continuationSeparator" w:id="0">
    <w:p w:rsidR="009D4DB7" w:rsidRDefault="009D4DB7" w:rsidP="00C640D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47183"/>
      <w:docPartObj>
        <w:docPartGallery w:val="Page Numbers (Bottom of Page)"/>
        <w:docPartUnique/>
      </w:docPartObj>
    </w:sdtPr>
    <w:sdtContent>
      <w:p w:rsidR="009D4DB7" w:rsidRDefault="001B0E63">
        <w:pPr>
          <w:pStyle w:val="Footer"/>
          <w:jc w:val="right"/>
        </w:pPr>
        <w:fldSimple w:instr=" PAGE   \* MERGEFORMAT ">
          <w:r w:rsidR="00C1315B">
            <w:rPr>
              <w:noProof/>
            </w:rPr>
            <w:t>2</w:t>
          </w:r>
        </w:fldSimple>
      </w:p>
    </w:sdtContent>
  </w:sdt>
  <w:p w:rsidR="009D4DB7" w:rsidRDefault="009D4DB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4DB7" w:rsidRDefault="009D4DB7" w:rsidP="00C640D3">
      <w:r>
        <w:separator/>
      </w:r>
    </w:p>
  </w:footnote>
  <w:footnote w:type="continuationSeparator" w:id="0">
    <w:p w:rsidR="009D4DB7" w:rsidRDefault="009D4DB7" w:rsidP="00C640D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proofState w:spelling="clean" w:grammar="clean"/>
  <w:trackRevisions/>
  <w:defaultTabStop w:val="720"/>
  <w:characterSpacingControl w:val="doNotCompress"/>
  <w:footnotePr>
    <w:footnote w:id="-1"/>
    <w:footnote w:id="0"/>
  </w:footnotePr>
  <w:endnotePr>
    <w:endnote w:id="-1"/>
    <w:endnote w:id="0"/>
  </w:endnotePr>
  <w:compat/>
  <w:rsids>
    <w:rsidRoot w:val="000A34B0"/>
    <w:rsid w:val="000336CC"/>
    <w:rsid w:val="000A277C"/>
    <w:rsid w:val="000A34B0"/>
    <w:rsid w:val="00112F09"/>
    <w:rsid w:val="001B0E63"/>
    <w:rsid w:val="001E1E34"/>
    <w:rsid w:val="00235BA8"/>
    <w:rsid w:val="00303025"/>
    <w:rsid w:val="0036288B"/>
    <w:rsid w:val="00377B1D"/>
    <w:rsid w:val="003A515E"/>
    <w:rsid w:val="003D4937"/>
    <w:rsid w:val="003E352C"/>
    <w:rsid w:val="0045552E"/>
    <w:rsid w:val="004806F9"/>
    <w:rsid w:val="00523FD8"/>
    <w:rsid w:val="005F674A"/>
    <w:rsid w:val="006A3C65"/>
    <w:rsid w:val="006D1DFC"/>
    <w:rsid w:val="006F6D46"/>
    <w:rsid w:val="007911F5"/>
    <w:rsid w:val="007A5843"/>
    <w:rsid w:val="007B1780"/>
    <w:rsid w:val="007C618A"/>
    <w:rsid w:val="00880E9A"/>
    <w:rsid w:val="00891B5C"/>
    <w:rsid w:val="008949AC"/>
    <w:rsid w:val="008B700F"/>
    <w:rsid w:val="008C7C88"/>
    <w:rsid w:val="008E3179"/>
    <w:rsid w:val="008E5B73"/>
    <w:rsid w:val="008F4B09"/>
    <w:rsid w:val="009A0CA0"/>
    <w:rsid w:val="009D4DB7"/>
    <w:rsid w:val="009D5678"/>
    <w:rsid w:val="00A036A7"/>
    <w:rsid w:val="00A5309E"/>
    <w:rsid w:val="00A82EB1"/>
    <w:rsid w:val="00AB4211"/>
    <w:rsid w:val="00AB45E6"/>
    <w:rsid w:val="00B12286"/>
    <w:rsid w:val="00B52265"/>
    <w:rsid w:val="00B63BA4"/>
    <w:rsid w:val="00B67FFD"/>
    <w:rsid w:val="00BF6B2E"/>
    <w:rsid w:val="00C032C0"/>
    <w:rsid w:val="00C1315B"/>
    <w:rsid w:val="00C3658A"/>
    <w:rsid w:val="00C50BAA"/>
    <w:rsid w:val="00C640D3"/>
    <w:rsid w:val="00C8591D"/>
    <w:rsid w:val="00CC3D62"/>
    <w:rsid w:val="00DA2530"/>
    <w:rsid w:val="00DD3B75"/>
    <w:rsid w:val="00E545FA"/>
    <w:rsid w:val="00EC154D"/>
    <w:rsid w:val="00EC2232"/>
    <w:rsid w:val="00F125CB"/>
    <w:rsid w:val="00F95BD6"/>
    <w:rsid w:val="00FD4F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caption" w:uiPriority="35" w:qFormat="1"/>
    <w:lsdException w:name="Title" w:semiHidden="0" w:uiPriority="1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4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A34B0"/>
    <w:pPr>
      <w:tabs>
        <w:tab w:val="center" w:pos="4680"/>
        <w:tab w:val="right" w:pos="9360"/>
      </w:tabs>
    </w:pPr>
  </w:style>
  <w:style w:type="character" w:customStyle="1" w:styleId="FooterChar">
    <w:name w:val="Footer Char"/>
    <w:basedOn w:val="DefaultParagraphFont"/>
    <w:link w:val="Footer"/>
    <w:uiPriority w:val="99"/>
    <w:rsid w:val="000A34B0"/>
  </w:style>
  <w:style w:type="paragraph" w:styleId="BalloonText">
    <w:name w:val="Balloon Text"/>
    <w:basedOn w:val="Normal"/>
    <w:link w:val="BalloonTextChar"/>
    <w:uiPriority w:val="99"/>
    <w:semiHidden/>
    <w:unhideWhenUsed/>
    <w:rsid w:val="000A34B0"/>
    <w:rPr>
      <w:rFonts w:ascii="Tahoma" w:hAnsi="Tahoma" w:cs="Tahoma"/>
      <w:sz w:val="16"/>
      <w:szCs w:val="16"/>
    </w:rPr>
  </w:style>
  <w:style w:type="character" w:customStyle="1" w:styleId="BalloonTextChar">
    <w:name w:val="Balloon Text Char"/>
    <w:basedOn w:val="DefaultParagraphFont"/>
    <w:link w:val="BalloonText"/>
    <w:uiPriority w:val="99"/>
    <w:semiHidden/>
    <w:rsid w:val="000A34B0"/>
    <w:rPr>
      <w:rFonts w:ascii="Tahoma" w:hAnsi="Tahoma" w:cs="Tahoma"/>
      <w:sz w:val="16"/>
      <w:szCs w:val="16"/>
    </w:rPr>
  </w:style>
  <w:style w:type="paragraph" w:styleId="NormalWeb">
    <w:name w:val="Normal (Web)"/>
    <w:basedOn w:val="Normal"/>
    <w:uiPriority w:val="99"/>
    <w:unhideWhenUsed/>
    <w:rsid w:val="008949AC"/>
    <w:pPr>
      <w:spacing w:before="100" w:beforeAutospacing="1" w:after="100" w:afterAutospacing="1"/>
    </w:pPr>
    <w:rPr>
      <w:rFonts w:ascii="Times New Roman" w:eastAsiaTheme="minorEastAsia" w:hAnsi="Times New Roman" w:cs="Times New Roman"/>
      <w:sz w:val="24"/>
      <w:szCs w:val="24"/>
    </w:rPr>
  </w:style>
  <w:style w:type="paragraph" w:styleId="Revision">
    <w:name w:val="Revision"/>
    <w:hidden/>
    <w:uiPriority w:val="99"/>
    <w:semiHidden/>
    <w:rsid w:val="00C1315B"/>
  </w:style>
</w:styles>
</file>

<file path=word/webSettings.xml><?xml version="1.0" encoding="utf-8"?>
<w:webSettings xmlns:r="http://schemas.openxmlformats.org/officeDocument/2006/relationships" xmlns:w="http://schemas.openxmlformats.org/wordprocessingml/2006/main">
  <w:divs>
    <w:div w:id="733821880">
      <w:bodyDiv w:val="1"/>
      <w:marLeft w:val="0"/>
      <w:marRight w:val="0"/>
      <w:marTop w:val="0"/>
      <w:marBottom w:val="0"/>
      <w:divBdr>
        <w:top w:val="none" w:sz="0" w:space="0" w:color="auto"/>
        <w:left w:val="none" w:sz="0" w:space="0" w:color="auto"/>
        <w:bottom w:val="none" w:sz="0" w:space="0" w:color="auto"/>
        <w:right w:val="none" w:sz="0" w:space="0" w:color="auto"/>
      </w:divBdr>
    </w:div>
    <w:div w:id="763113829">
      <w:bodyDiv w:val="1"/>
      <w:marLeft w:val="0"/>
      <w:marRight w:val="0"/>
      <w:marTop w:val="0"/>
      <w:marBottom w:val="0"/>
      <w:divBdr>
        <w:top w:val="none" w:sz="0" w:space="0" w:color="auto"/>
        <w:left w:val="none" w:sz="0" w:space="0" w:color="auto"/>
        <w:bottom w:val="none" w:sz="0" w:space="0" w:color="auto"/>
        <w:right w:val="none" w:sz="0" w:space="0" w:color="auto"/>
      </w:divBdr>
    </w:div>
    <w:div w:id="1545602166">
      <w:bodyDiv w:val="1"/>
      <w:marLeft w:val="0"/>
      <w:marRight w:val="0"/>
      <w:marTop w:val="0"/>
      <w:marBottom w:val="0"/>
      <w:divBdr>
        <w:top w:val="none" w:sz="0" w:space="0" w:color="auto"/>
        <w:left w:val="none" w:sz="0" w:space="0" w:color="auto"/>
        <w:bottom w:val="none" w:sz="0" w:space="0" w:color="auto"/>
        <w:right w:val="none" w:sz="0" w:space="0" w:color="auto"/>
      </w:divBdr>
      <w:divsChild>
        <w:div w:id="684481998">
          <w:marLeft w:val="0"/>
          <w:marRight w:val="0"/>
          <w:marTop w:val="0"/>
          <w:marBottom w:val="0"/>
          <w:divBdr>
            <w:top w:val="none" w:sz="0" w:space="0" w:color="auto"/>
            <w:left w:val="none" w:sz="0" w:space="0" w:color="auto"/>
            <w:bottom w:val="none" w:sz="0" w:space="0" w:color="auto"/>
            <w:right w:val="none" w:sz="0" w:space="0" w:color="auto"/>
          </w:divBdr>
        </w:div>
      </w:divsChild>
    </w:div>
    <w:div w:id="1935672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99BAF8-E4FB-4A17-A69B-B87019E3B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4</Pages>
  <Words>2955</Words>
  <Characters>16847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Zev Ross</dc:creator>
  <cp:lastModifiedBy>svillaflores</cp:lastModifiedBy>
  <cp:revision>16</cp:revision>
  <dcterms:created xsi:type="dcterms:W3CDTF">2013-05-10T13:57:00Z</dcterms:created>
  <dcterms:modified xsi:type="dcterms:W3CDTF">2013-06-25T03:34:00Z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zev@zevross.com@www.mendeley.com</vt:lpwstr>
  </property>
  <property fmtid="{D5CDD505-2E9C-101B-9397-08002B2CF9AE}" pid="4" name="Mendeley Citation Style_1">
    <vt:lpwstr>http://www.zotero.org/styles/bmc-bioinformatics</vt:lpwstr>
  </property>
  <property fmtid="{D5CDD505-2E9C-101B-9397-08002B2CF9AE}" pid="5" name="Mendeley Recent Style Id 0_1">
    <vt:lpwstr>http://www.zotero.org/styles/apsa</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http://www.zotero.org/styles/asa</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(author-date)</vt:lpwstr>
  </property>
  <property fmtid="{D5CDD505-2E9C-101B-9397-08002B2CF9AE}" pid="13" name="Mendeley Recent Style Id 4_1">
    <vt:lpwstr>http://www.zotero.org/styles/bmc-bioinformatics</vt:lpwstr>
  </property>
  <property fmtid="{D5CDD505-2E9C-101B-9397-08002B2CF9AE}" pid="14" name="Mendeley Recent Style Name 4_1">
    <vt:lpwstr>Environmental Health</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http://www.zotero.org/styles/mhra</vt:lpwstr>
  </property>
  <property fmtid="{D5CDD505-2E9C-101B-9397-08002B2CF9AE}" pid="20" name="Mendeley Recent Style Name 7_1">
    <vt:lpwstr>Modern Humanities Research Association (note with bibliography)</vt:lpwstr>
  </property>
  <property fmtid="{D5CDD505-2E9C-101B-9397-08002B2CF9AE}" pid="21" name="Mendeley Recent Style Id 8_1">
    <vt:lpwstr>http://www.zotero.org/styles/mla</vt:lpwstr>
  </property>
  <property fmtid="{D5CDD505-2E9C-101B-9397-08002B2CF9AE}" pid="22" name="Mendeley Recent Style Name 8_1">
    <vt:lpwstr>Modern Language Association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