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FC" w:rsidRPr="008C2CD0" w:rsidRDefault="004B08FC" w:rsidP="004B08F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>
            <wp:extent cx="4213860" cy="3208020"/>
            <wp:effectExtent l="19050" t="0" r="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EC" w:rsidRPr="008C2CD0" w:rsidRDefault="009069EC" w:rsidP="009069E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proofErr w:type="gramStart"/>
      <w:r w:rsidRPr="008C2CD0">
        <w:rPr>
          <w:rFonts w:ascii="Times New Roman" w:hAnsi="Times New Roman"/>
          <w:sz w:val="24"/>
          <w:szCs w:val="20"/>
        </w:rPr>
        <w:t>Figure 3.</w:t>
      </w:r>
      <w:proofErr w:type="gramEnd"/>
      <w:r w:rsidRPr="008C2CD0">
        <w:rPr>
          <w:rFonts w:ascii="Times New Roman" w:hAnsi="Times New Roman"/>
          <w:sz w:val="24"/>
          <w:szCs w:val="20"/>
        </w:rPr>
        <w:t xml:space="preserve"> Distribution of application frequency of pesticide applications reported in the telephone surveys and web surveys</w:t>
      </w:r>
      <w:r>
        <w:rPr>
          <w:rFonts w:ascii="Times New Roman" w:hAnsi="Times New Roman"/>
          <w:sz w:val="24"/>
          <w:szCs w:val="20"/>
        </w:rPr>
        <w:t>. Note: in the telephone surveys, use frequency was reported as uses in the hot/cold season, and use per year is the sum of uses in the hot and cold seasons. In the web surveys, use frequency was reported in each three-month recall period. To convert to use per year, uses in all recall periods were summed and divided by the total recall period</w:t>
      </w:r>
      <w:r w:rsidRPr="008C2CD0">
        <w:rPr>
          <w:rFonts w:ascii="Times New Roman" w:hAnsi="Times New Roman"/>
          <w:sz w:val="24"/>
          <w:szCs w:val="20"/>
        </w:rPr>
        <w:t>.</w:t>
      </w:r>
    </w:p>
    <w:p w:rsidR="00C16B65" w:rsidRDefault="00C16B65"/>
    <w:sectPr w:rsidR="00C16B65" w:rsidSect="004B0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B08FC"/>
    <w:rsid w:val="004A4F87"/>
    <w:rsid w:val="004B08FC"/>
    <w:rsid w:val="00823CCC"/>
    <w:rsid w:val="00885162"/>
    <w:rsid w:val="008C1CFB"/>
    <w:rsid w:val="009069EC"/>
    <w:rsid w:val="00C1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8FC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Xiangmei (May) Wu</dc:creator>
  <cp:lastModifiedBy>Xiangmei (May) Wu</cp:lastModifiedBy>
  <cp:revision>1</cp:revision>
  <dcterms:created xsi:type="dcterms:W3CDTF">2013-02-07T00:27:00Z</dcterms:created>
  <dcterms:modified xsi:type="dcterms:W3CDTF">2013-02-07T00:42:00Z</dcterms:modified>
</cp:coreProperties>
</file>