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2E" w:rsidRDefault="00924E2E" w:rsidP="00924E2E">
      <w:pPr>
        <w:spacing w:line="240" w:lineRule="auto"/>
        <w:contextualSpacing/>
        <w:rPr>
          <w:b/>
        </w:rPr>
      </w:pPr>
      <w:proofErr w:type="gramStart"/>
      <w:r>
        <w:rPr>
          <w:b/>
        </w:rPr>
        <w:t>Supplemental Figure 1.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Hourly micro-environment time-activity data for most recent workday/weekday and non-workday/weekend.</w:t>
      </w:r>
      <w:proofErr w:type="gramEnd"/>
      <w:r>
        <w:rPr>
          <w:b/>
        </w:rPr>
        <w:t xml:space="preserve"> </w:t>
      </w:r>
    </w:p>
    <w:p w:rsidR="00924E2E" w:rsidRDefault="00924E2E" w:rsidP="00924E2E">
      <w:pPr>
        <w:spacing w:line="240" w:lineRule="auto"/>
        <w:contextualSpacing/>
        <w:rPr>
          <w:b/>
        </w:rPr>
      </w:pPr>
      <w:r>
        <w:rPr>
          <w:b/>
          <w:noProof/>
        </w:rPr>
        <w:pict>
          <v:rect id="Rectangle 3" o:spid="_x0000_s1027" style="position:absolute;margin-left:-.75pt;margin-top:8.3pt;width:649.5pt;height:414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" filled="f" strokeweight="1pt"/>
        </w:pict>
      </w:r>
    </w:p>
    <w:p w:rsidR="00F01720" w:rsidRPr="00924E2E" w:rsidRDefault="00924E2E" w:rsidP="00924E2E">
      <w:pPr>
        <w:spacing w:line="240" w:lineRule="auto"/>
        <w:contextualSpacing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7239000</wp:posOffset>
            </wp:positionH>
            <wp:positionV relativeFrom="paragraph">
              <wp:posOffset>2040255</wp:posOffset>
            </wp:positionV>
            <wp:extent cx="990600" cy="1047750"/>
            <wp:effectExtent l="19050" t="0" r="0" b="0"/>
            <wp:wrapNone/>
            <wp:docPr id="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5108">
        <w:rPr>
          <w:b/>
          <w:noProof/>
        </w:rPr>
        <w:drawing>
          <wp:inline distT="0" distB="0" distL="0" distR="0">
            <wp:extent cx="7172325" cy="2546985"/>
            <wp:effectExtent l="19050" t="0" r="9525" b="5715"/>
            <wp:docPr id="8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Pr="00B523B9">
        <w:rPr>
          <w:b/>
          <w:noProof/>
        </w:rPr>
        <w:drawing>
          <wp:inline distT="0" distB="0" distL="0" distR="0">
            <wp:extent cx="7172325" cy="2546985"/>
            <wp:effectExtent l="19050" t="0" r="9525" b="5715"/>
            <wp:docPr id="6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01720" w:rsidRPr="00924E2E" w:rsidSect="008F0C0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2AE"/>
    <w:rsid w:val="0051348A"/>
    <w:rsid w:val="008F0C0B"/>
    <w:rsid w:val="00924E2E"/>
    <w:rsid w:val="00B866BF"/>
    <w:rsid w:val="00F01720"/>
    <w:rsid w:val="00FB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8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2E"/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klane\Desktop\Projects\CAFEH\Time_activity\Final\Bar_Graphs\Workday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Documents%20and%20Settings\klane\Desktop\Projects\CAFEH\Time_activity\Final\Bar_Graphs\Non_workday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en-US" sz="1200">
                <a:latin typeface="Times New Roman" pitchFamily="18" charset="0"/>
                <a:cs typeface="Times New Roman" pitchFamily="18" charset="0"/>
              </a:rPr>
              <a:t>Workday/Weekday </a:t>
            </a:r>
            <a:r>
              <a:rPr lang="en-US" sz="1200" baseline="0">
                <a:latin typeface="Times New Roman" pitchFamily="18" charset="0"/>
                <a:cs typeface="Times New Roman" pitchFamily="18" charset="0"/>
              </a:rPr>
              <a:t>(N=663)</a:t>
            </a:r>
            <a:endParaRPr lang="en-US" sz="120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6791932880899847"/>
          <c:y val="0"/>
        </c:manualLayout>
      </c:layout>
    </c:title>
    <c:plotArea>
      <c:layout>
        <c:manualLayout>
          <c:layoutTarget val="inner"/>
          <c:xMode val="edge"/>
          <c:yMode val="edge"/>
          <c:x val="6.9746571277324004E-2"/>
          <c:y val="9.0844873453502228E-2"/>
          <c:w val="0.87468621843838756"/>
          <c:h val="0.72549474398130898"/>
        </c:manualLayout>
      </c:layout>
      <c:barChart>
        <c:barDir val="col"/>
        <c:grouping val="stacked"/>
        <c:ser>
          <c:idx val="0"/>
          <c:order val="0"/>
          <c:tx>
            <c:strRef>
              <c:f>wrkdy!$A$666</c:f>
              <c:strCache>
                <c:ptCount val="1"/>
                <c:pt idx="0">
                  <c:v>Home Inside</c:v>
                </c:pt>
              </c:strCache>
            </c:strRef>
          </c:tx>
          <c:spPr>
            <a:solidFill>
              <a:schemeClr val="accent2"/>
            </a:solidFill>
          </c:spPr>
          <c:val>
            <c:numRef>
              <c:f>wrkdy!$B$666:$Y$666</c:f>
              <c:numCache>
                <c:formatCode>General</c:formatCode>
                <c:ptCount val="24"/>
                <c:pt idx="0">
                  <c:v>96.229260935143827</c:v>
                </c:pt>
                <c:pt idx="1">
                  <c:v>97.134238310708142</c:v>
                </c:pt>
                <c:pt idx="2">
                  <c:v>97.737556561085967</c:v>
                </c:pt>
                <c:pt idx="3">
                  <c:v>97.888386123678927</c:v>
                </c:pt>
                <c:pt idx="4">
                  <c:v>96.681749622926048</c:v>
                </c:pt>
                <c:pt idx="5">
                  <c:v>93.966817496229254</c:v>
                </c:pt>
                <c:pt idx="6">
                  <c:v>81.447963800905967</c:v>
                </c:pt>
                <c:pt idx="7">
                  <c:v>69.079939668174973</c:v>
                </c:pt>
                <c:pt idx="8">
                  <c:v>57.466063348416284</c:v>
                </c:pt>
                <c:pt idx="9">
                  <c:v>48.567119155354447</c:v>
                </c:pt>
                <c:pt idx="10">
                  <c:v>41.025641025640994</c:v>
                </c:pt>
                <c:pt idx="11">
                  <c:v>43.891402714932127</c:v>
                </c:pt>
                <c:pt idx="12">
                  <c:v>48.868778280542983</c:v>
                </c:pt>
                <c:pt idx="13">
                  <c:v>46.757164404222863</c:v>
                </c:pt>
                <c:pt idx="14">
                  <c:v>47.058823529411754</c:v>
                </c:pt>
                <c:pt idx="15">
                  <c:v>50.678733031674213</c:v>
                </c:pt>
                <c:pt idx="16">
                  <c:v>59.426847662141775</c:v>
                </c:pt>
                <c:pt idx="17">
                  <c:v>69.683257918551107</c:v>
                </c:pt>
                <c:pt idx="18">
                  <c:v>74.962292609351437</c:v>
                </c:pt>
                <c:pt idx="19">
                  <c:v>80.241327300150829</c:v>
                </c:pt>
                <c:pt idx="20">
                  <c:v>85.369532428355953</c:v>
                </c:pt>
                <c:pt idx="21">
                  <c:v>90.950226244344705</c:v>
                </c:pt>
                <c:pt idx="22">
                  <c:v>93.51432880844645</c:v>
                </c:pt>
                <c:pt idx="23">
                  <c:v>95.02262443438913</c:v>
                </c:pt>
              </c:numCache>
            </c:numRef>
          </c:val>
        </c:ser>
        <c:ser>
          <c:idx val="1"/>
          <c:order val="1"/>
          <c:tx>
            <c:strRef>
              <c:f>wrkdy!$A$667</c:f>
              <c:strCache>
                <c:ptCount val="1"/>
                <c:pt idx="0">
                  <c:v>Home Outside</c:v>
                </c:pt>
              </c:strCache>
            </c:strRef>
          </c:tx>
          <c:spPr>
            <a:solidFill>
              <a:schemeClr val="accent3"/>
            </a:solidFill>
          </c:spPr>
          <c:val>
            <c:numRef>
              <c:f>wrkdy!$B$667:$Y$667</c:f>
              <c:numCache>
                <c:formatCode>General</c:formatCode>
                <c:ptCount val="24"/>
                <c:pt idx="0">
                  <c:v>0.60331825037707465</c:v>
                </c:pt>
                <c:pt idx="1">
                  <c:v>0.45248868778281193</c:v>
                </c:pt>
                <c:pt idx="2">
                  <c:v>0.60331825037707465</c:v>
                </c:pt>
                <c:pt idx="3">
                  <c:v>0.75414781297134803</c:v>
                </c:pt>
                <c:pt idx="4">
                  <c:v>1.0558069381598794</c:v>
                </c:pt>
                <c:pt idx="5">
                  <c:v>1.0558069381598794</c:v>
                </c:pt>
                <c:pt idx="6">
                  <c:v>6.7873303167420795</c:v>
                </c:pt>
                <c:pt idx="7">
                  <c:v>10.256410256410337</c:v>
                </c:pt>
                <c:pt idx="8">
                  <c:v>11.915535444947325</c:v>
                </c:pt>
                <c:pt idx="9">
                  <c:v>15.384615384615385</c:v>
                </c:pt>
                <c:pt idx="10">
                  <c:v>17.496229260934868</c:v>
                </c:pt>
                <c:pt idx="11">
                  <c:v>13.725490196078432</c:v>
                </c:pt>
                <c:pt idx="12">
                  <c:v>10.256410256410337</c:v>
                </c:pt>
                <c:pt idx="13">
                  <c:v>11.915535444947325</c:v>
                </c:pt>
                <c:pt idx="14">
                  <c:v>12.820512820512819</c:v>
                </c:pt>
                <c:pt idx="15">
                  <c:v>12.669683257918576</c:v>
                </c:pt>
                <c:pt idx="16">
                  <c:v>9.2006033182503781</c:v>
                </c:pt>
                <c:pt idx="17">
                  <c:v>7.0889894419306181</c:v>
                </c:pt>
                <c:pt idx="18">
                  <c:v>8.2956259426847652</c:v>
                </c:pt>
                <c:pt idx="19">
                  <c:v>6.1840120663649545</c:v>
                </c:pt>
                <c:pt idx="20">
                  <c:v>4.2232277526395174</c:v>
                </c:pt>
                <c:pt idx="21">
                  <c:v>1.9607843137254899</c:v>
                </c:pt>
                <c:pt idx="22">
                  <c:v>0.90497737556561098</c:v>
                </c:pt>
                <c:pt idx="23">
                  <c:v>1.0558069381598794</c:v>
                </c:pt>
              </c:numCache>
            </c:numRef>
          </c:val>
        </c:ser>
        <c:ser>
          <c:idx val="2"/>
          <c:order val="2"/>
          <c:tx>
            <c:strRef>
              <c:f>wrkdy!$A$668</c:f>
              <c:strCache>
                <c:ptCount val="1"/>
                <c:pt idx="0">
                  <c:v>Work/School</c:v>
                </c:pt>
              </c:strCache>
            </c:strRef>
          </c:tx>
          <c:spPr>
            <a:solidFill>
              <a:schemeClr val="accent4"/>
            </a:solidFill>
          </c:spPr>
          <c:val>
            <c:numRef>
              <c:f>wrkdy!$B$668:$Y$668</c:f>
              <c:numCache>
                <c:formatCode>General</c:formatCode>
                <c:ptCount val="24"/>
                <c:pt idx="0">
                  <c:v>2.7149321266968331</c:v>
                </c:pt>
                <c:pt idx="1">
                  <c:v>2.2624434389140267</c:v>
                </c:pt>
                <c:pt idx="2">
                  <c:v>1.3574660633484164</c:v>
                </c:pt>
                <c:pt idx="3">
                  <c:v>1.0558069381598794</c:v>
                </c:pt>
                <c:pt idx="4">
                  <c:v>1.9607843137254899</c:v>
                </c:pt>
                <c:pt idx="5">
                  <c:v>3.7707390648567212</c:v>
                </c:pt>
                <c:pt idx="6">
                  <c:v>9.502262443438914</c:v>
                </c:pt>
                <c:pt idx="7">
                  <c:v>13.8763197586727</c:v>
                </c:pt>
                <c:pt idx="8">
                  <c:v>19.909502262443429</c:v>
                </c:pt>
                <c:pt idx="9">
                  <c:v>24.736048265460028</c:v>
                </c:pt>
                <c:pt idx="10">
                  <c:v>27.601809954751133</c:v>
                </c:pt>
                <c:pt idx="11">
                  <c:v>29.864253393665159</c:v>
                </c:pt>
                <c:pt idx="12">
                  <c:v>29.260935143288091</c:v>
                </c:pt>
                <c:pt idx="13">
                  <c:v>29.260935143288091</c:v>
                </c:pt>
                <c:pt idx="14">
                  <c:v>27.75263951734507</c:v>
                </c:pt>
                <c:pt idx="15">
                  <c:v>25.942684766214185</c:v>
                </c:pt>
                <c:pt idx="16">
                  <c:v>22.624434389140273</c:v>
                </c:pt>
                <c:pt idx="17">
                  <c:v>16.13876319758673</c:v>
                </c:pt>
                <c:pt idx="18">
                  <c:v>11.76470588235294</c:v>
                </c:pt>
                <c:pt idx="19">
                  <c:v>10.256410256410337</c:v>
                </c:pt>
                <c:pt idx="20">
                  <c:v>7.9939668174962275</c:v>
                </c:pt>
                <c:pt idx="21">
                  <c:v>5.2790346907993984</c:v>
                </c:pt>
                <c:pt idx="22">
                  <c:v>4.675716440422323</c:v>
                </c:pt>
                <c:pt idx="23">
                  <c:v>3.1674208144796392</c:v>
                </c:pt>
              </c:numCache>
            </c:numRef>
          </c:val>
        </c:ser>
        <c:ser>
          <c:idx val="3"/>
          <c:order val="3"/>
          <c:tx>
            <c:strRef>
              <c:f>wrkdy!$A$669</c:f>
              <c:strCache>
                <c:ptCount val="1"/>
                <c:pt idx="0">
                  <c:v>Other</c:v>
                </c:pt>
              </c:strCache>
            </c:strRef>
          </c:tx>
          <c:spPr>
            <a:solidFill>
              <a:schemeClr val="accent5"/>
            </a:solidFill>
          </c:spPr>
          <c:val>
            <c:numRef>
              <c:f>wrkdy!$B$669:$Y$669</c:f>
              <c:numCache>
                <c:formatCode>General</c:formatCode>
                <c:ptCount val="24"/>
                <c:pt idx="0">
                  <c:v>0.30165912518853699</c:v>
                </c:pt>
                <c:pt idx="1">
                  <c:v>0.15082956259426891</c:v>
                </c:pt>
                <c:pt idx="2">
                  <c:v>0.30165912518853699</c:v>
                </c:pt>
                <c:pt idx="3">
                  <c:v>0.30165912518853699</c:v>
                </c:pt>
                <c:pt idx="4">
                  <c:v>0.30165912518853699</c:v>
                </c:pt>
                <c:pt idx="5">
                  <c:v>1.2066365007541398</c:v>
                </c:pt>
                <c:pt idx="6">
                  <c:v>2.2624434389140267</c:v>
                </c:pt>
                <c:pt idx="7">
                  <c:v>6.6365007541478125</c:v>
                </c:pt>
                <c:pt idx="8">
                  <c:v>10.105580693816071</c:v>
                </c:pt>
                <c:pt idx="9">
                  <c:v>11.010558069381599</c:v>
                </c:pt>
                <c:pt idx="10">
                  <c:v>13.725490196078432</c:v>
                </c:pt>
                <c:pt idx="11">
                  <c:v>12.368024132730016</c:v>
                </c:pt>
                <c:pt idx="12">
                  <c:v>11.312217194570135</c:v>
                </c:pt>
                <c:pt idx="13">
                  <c:v>11.76470588235294</c:v>
                </c:pt>
                <c:pt idx="14">
                  <c:v>11.76470588235294</c:v>
                </c:pt>
                <c:pt idx="15">
                  <c:v>10.407239819004619</c:v>
                </c:pt>
                <c:pt idx="16">
                  <c:v>8.2956259426847652</c:v>
                </c:pt>
                <c:pt idx="17">
                  <c:v>6.7873303167420795</c:v>
                </c:pt>
                <c:pt idx="18">
                  <c:v>4.675716440422323</c:v>
                </c:pt>
                <c:pt idx="19">
                  <c:v>3.3182503770739067</c:v>
                </c:pt>
                <c:pt idx="20">
                  <c:v>2.2624434389140267</c:v>
                </c:pt>
                <c:pt idx="21">
                  <c:v>1.809954751131222</c:v>
                </c:pt>
                <c:pt idx="22">
                  <c:v>0.75414781297134803</c:v>
                </c:pt>
                <c:pt idx="23">
                  <c:v>0.75414781297134803</c:v>
                </c:pt>
              </c:numCache>
            </c:numRef>
          </c:val>
        </c:ser>
        <c:overlap val="100"/>
        <c:axId val="151966080"/>
        <c:axId val="151968000"/>
      </c:barChart>
      <c:lineChart>
        <c:grouping val="standard"/>
        <c:ser>
          <c:idx val="5"/>
          <c:order val="4"/>
          <c:tx>
            <c:strRef>
              <c:f>wrkdy!$A$673</c:f>
              <c:strCache>
                <c:ptCount val="1"/>
                <c:pt idx="0">
                  <c:v>% on Highway</c:v>
                </c:pt>
              </c:strCache>
            </c:strRef>
          </c:tx>
          <c:spPr>
            <a:ln w="44450">
              <a:solidFill>
                <a:prstClr val="black"/>
              </a:solidFill>
            </a:ln>
          </c:spPr>
          <c:marker>
            <c:symbol val="none"/>
          </c:marker>
          <c:val>
            <c:numRef>
              <c:f>wrkdy!$B$673:$Y$673</c:f>
              <c:numCache>
                <c:formatCode>General</c:formatCode>
                <c:ptCount val="24"/>
                <c:pt idx="0">
                  <c:v>0.90497737556561098</c:v>
                </c:pt>
                <c:pt idx="1">
                  <c:v>0.45248868778281193</c:v>
                </c:pt>
                <c:pt idx="2">
                  <c:v>0</c:v>
                </c:pt>
                <c:pt idx="3">
                  <c:v>0.15082956259426891</c:v>
                </c:pt>
                <c:pt idx="4">
                  <c:v>0.60331825037707465</c:v>
                </c:pt>
                <c:pt idx="5">
                  <c:v>1.5082956259426838</c:v>
                </c:pt>
                <c:pt idx="6">
                  <c:v>3.4690799396681462</c:v>
                </c:pt>
                <c:pt idx="7">
                  <c:v>4.5248868778279503</c:v>
                </c:pt>
                <c:pt idx="8">
                  <c:v>5.2790346907993984</c:v>
                </c:pt>
                <c:pt idx="9">
                  <c:v>4.3740573152337854</c:v>
                </c:pt>
                <c:pt idx="10">
                  <c:v>4.8265460030165865</c:v>
                </c:pt>
                <c:pt idx="11">
                  <c:v>3.0165912518853952</c:v>
                </c:pt>
                <c:pt idx="12">
                  <c:v>2.7149321266968331</c:v>
                </c:pt>
                <c:pt idx="13">
                  <c:v>2.7149321266968331</c:v>
                </c:pt>
                <c:pt idx="14">
                  <c:v>3.6199095022624452</c:v>
                </c:pt>
                <c:pt idx="15">
                  <c:v>2.8657616892910998</c:v>
                </c:pt>
                <c:pt idx="16">
                  <c:v>5.1282051282051277</c:v>
                </c:pt>
                <c:pt idx="17">
                  <c:v>3.3182503770739067</c:v>
                </c:pt>
                <c:pt idx="18">
                  <c:v>2.8657616892910998</c:v>
                </c:pt>
                <c:pt idx="19">
                  <c:v>2.5641025641025652</c:v>
                </c:pt>
                <c:pt idx="20">
                  <c:v>1.6591251885369533</c:v>
                </c:pt>
                <c:pt idx="21">
                  <c:v>0.60331825037707465</c:v>
                </c:pt>
                <c:pt idx="22">
                  <c:v>1.2066365007541398</c:v>
                </c:pt>
                <c:pt idx="23">
                  <c:v>0.15082956259426891</c:v>
                </c:pt>
              </c:numCache>
            </c:numRef>
          </c:val>
        </c:ser>
        <c:marker val="1"/>
        <c:axId val="152043904"/>
        <c:axId val="152045440"/>
      </c:lineChart>
      <c:catAx>
        <c:axId val="1519660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>
                    <a:latin typeface="Times New Roman" pitchFamily="18" charset="0"/>
                    <a:cs typeface="Times New Roman" pitchFamily="18" charset="0"/>
                  </a:rPr>
                  <a:t>Time  of Day (Hours)</a:t>
                </a:r>
              </a:p>
            </c:rich>
          </c:tx>
          <c:layout>
            <c:manualLayout>
              <c:xMode val="edge"/>
              <c:yMode val="edge"/>
              <c:x val="0.42333981837176032"/>
              <c:y val="0.91070943176128161"/>
            </c:manualLayout>
          </c:layout>
        </c:title>
        <c:numFmt formatCode="General" sourceLinked="0"/>
        <c:maj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151968000"/>
        <c:crosses val="autoZero"/>
        <c:auto val="1"/>
        <c:lblAlgn val="ctr"/>
        <c:lblOffset val="100"/>
      </c:catAx>
      <c:valAx>
        <c:axId val="151968000"/>
        <c:scaling>
          <c:orientation val="minMax"/>
          <c:max val="100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>
                    <a:latin typeface="Times New Roman" pitchFamily="18" charset="0"/>
                    <a:cs typeface="Times New Roman" pitchFamily="18" charset="0"/>
                  </a:rPr>
                  <a:t>% In Micro-environment</a:t>
                </a:r>
              </a:p>
            </c:rich>
          </c:tx>
          <c:layout>
            <c:manualLayout>
              <c:xMode val="edge"/>
              <c:yMode val="edge"/>
              <c:x val="4.4543488667690128E-3"/>
              <c:y val="0.25392759867281012"/>
            </c:manualLayout>
          </c:layout>
        </c:title>
        <c:numFmt formatCode="General" sourceLinked="1"/>
        <c:majorTickMark val="none"/>
        <c:tickLblPos val="nextTo"/>
        <c:txPr>
          <a:bodyPr/>
          <a:lstStyle/>
          <a:p>
            <a:pPr>
              <a:defRPr sz="1000">
                <a:latin typeface="+mn-lt"/>
                <a:cs typeface="Times New Roman" pitchFamily="18" charset="0"/>
              </a:defRPr>
            </a:pPr>
            <a:endParaRPr lang="en-US"/>
          </a:p>
        </c:txPr>
        <c:crossAx val="151966080"/>
        <c:crosses val="autoZero"/>
        <c:crossBetween val="between"/>
      </c:valAx>
      <c:catAx>
        <c:axId val="152043904"/>
        <c:scaling>
          <c:orientation val="minMax"/>
        </c:scaling>
        <c:delete val="1"/>
        <c:axPos val="b"/>
        <c:tickLblPos val="none"/>
        <c:crossAx val="152045440"/>
        <c:crosses val="autoZero"/>
        <c:auto val="1"/>
        <c:lblAlgn val="ctr"/>
        <c:lblOffset val="100"/>
      </c:catAx>
      <c:valAx>
        <c:axId val="152045440"/>
        <c:scaling>
          <c:orientation val="minMax"/>
          <c:max val="10"/>
        </c:scaling>
        <c:axPos val="r"/>
        <c:title>
          <c:tx>
            <c:rich>
              <a:bodyPr rot="-540000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>
                    <a:latin typeface="Times New Roman" pitchFamily="18" charset="0"/>
                    <a:cs typeface="Times New Roman" pitchFamily="18" charset="0"/>
                  </a:rPr>
                  <a:t>%</a:t>
                </a:r>
                <a:r>
                  <a:rPr lang="en-US" sz="1000" baseline="0">
                    <a:latin typeface="Times New Roman" pitchFamily="18" charset="0"/>
                    <a:cs typeface="Times New Roman" pitchFamily="18" charset="0"/>
                  </a:rPr>
                  <a:t> Driving on Highway</a:t>
                </a:r>
                <a:endParaRPr lang="en-US" sz="1000">
                  <a:latin typeface="Times New Roman" pitchFamily="18" charset="0"/>
                  <a:cs typeface="Times New Roman" pitchFamily="18" charset="0"/>
                </a:endParaRP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152043904"/>
        <c:crosses val="max"/>
        <c:crossBetween val="between"/>
      </c:valAx>
    </c:plotArea>
    <c:plotVisOnly val="1"/>
    <c:dispBlanksAs val="gap"/>
  </c:chart>
  <c:txPr>
    <a:bodyPr/>
    <a:lstStyle/>
    <a:p>
      <a:pPr>
        <a:defRPr sz="1200"/>
      </a:pPr>
      <a:endParaRPr lang="en-U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en-US" sz="1200">
                <a:latin typeface="Times New Roman" pitchFamily="18" charset="0"/>
                <a:cs typeface="Times New Roman" pitchFamily="18" charset="0"/>
              </a:rPr>
              <a:t>Non-Workday/Weekend </a:t>
            </a:r>
            <a:r>
              <a:rPr lang="en-US" sz="1200" baseline="0">
                <a:latin typeface="Times New Roman" pitchFamily="18" charset="0"/>
                <a:cs typeface="Times New Roman" pitchFamily="18" charset="0"/>
              </a:rPr>
              <a:t>(N=663)</a:t>
            </a:r>
            <a:endParaRPr lang="en-US" sz="120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4548908478073731"/>
          <c:y val="0"/>
        </c:manualLayout>
      </c:layout>
    </c:title>
    <c:plotArea>
      <c:layout>
        <c:manualLayout>
          <c:layoutTarget val="inner"/>
          <c:xMode val="edge"/>
          <c:yMode val="edge"/>
          <c:x val="6.9746571277324004E-2"/>
          <c:y val="9.0844873453502228E-2"/>
          <c:w val="0.87468621843838756"/>
          <c:h val="0.72549474398130898"/>
        </c:manualLayout>
      </c:layout>
      <c:barChart>
        <c:barDir val="col"/>
        <c:grouping val="stacked"/>
        <c:ser>
          <c:idx val="0"/>
          <c:order val="0"/>
          <c:tx>
            <c:strRef>
              <c:f>Nonworkday!$A$666</c:f>
              <c:strCache>
                <c:ptCount val="1"/>
                <c:pt idx="0">
                  <c:v>Home Inside</c:v>
                </c:pt>
              </c:strCache>
            </c:strRef>
          </c:tx>
          <c:spPr>
            <a:solidFill>
              <a:schemeClr val="accent2"/>
            </a:solidFill>
          </c:spPr>
          <c:val>
            <c:numRef>
              <c:f>Nonworkday!$B$666:$Y$666</c:f>
              <c:numCache>
                <c:formatCode>General</c:formatCode>
                <c:ptCount val="24"/>
                <c:pt idx="0">
                  <c:v>98.19004524886877</c:v>
                </c:pt>
                <c:pt idx="1">
                  <c:v>98.340874811462314</c:v>
                </c:pt>
                <c:pt idx="2">
                  <c:v>98.340874811462314</c:v>
                </c:pt>
                <c:pt idx="3">
                  <c:v>98.340874811462314</c:v>
                </c:pt>
                <c:pt idx="4">
                  <c:v>98.340874811462314</c:v>
                </c:pt>
                <c:pt idx="5">
                  <c:v>97.285067873303149</c:v>
                </c:pt>
                <c:pt idx="6">
                  <c:v>92.458521870286518</c:v>
                </c:pt>
                <c:pt idx="7">
                  <c:v>83.55957767722397</c:v>
                </c:pt>
                <c:pt idx="8">
                  <c:v>73.001508295625939</c:v>
                </c:pt>
                <c:pt idx="9">
                  <c:v>64.555052790346878</c:v>
                </c:pt>
                <c:pt idx="10">
                  <c:v>56.108597285067873</c:v>
                </c:pt>
                <c:pt idx="11">
                  <c:v>50.980392156862742</c:v>
                </c:pt>
                <c:pt idx="12">
                  <c:v>57.466063348416284</c:v>
                </c:pt>
                <c:pt idx="13">
                  <c:v>58.069381598793086</c:v>
                </c:pt>
                <c:pt idx="14">
                  <c:v>60.784313725490193</c:v>
                </c:pt>
                <c:pt idx="15">
                  <c:v>66.063348416288605</c:v>
                </c:pt>
                <c:pt idx="16">
                  <c:v>72.549019607843817</c:v>
                </c:pt>
                <c:pt idx="17">
                  <c:v>77.073906485671202</c:v>
                </c:pt>
                <c:pt idx="18">
                  <c:v>80.090497737555594</c:v>
                </c:pt>
                <c:pt idx="19">
                  <c:v>85.369532428355953</c:v>
                </c:pt>
                <c:pt idx="20">
                  <c:v>87.933634992458508</c:v>
                </c:pt>
                <c:pt idx="21">
                  <c:v>93.665158371040718</c:v>
                </c:pt>
                <c:pt idx="22">
                  <c:v>96.681749622926048</c:v>
                </c:pt>
                <c:pt idx="23">
                  <c:v>97.435897435897431</c:v>
                </c:pt>
              </c:numCache>
            </c:numRef>
          </c:val>
        </c:ser>
        <c:ser>
          <c:idx val="1"/>
          <c:order val="1"/>
          <c:tx>
            <c:strRef>
              <c:f>Nonworkday!$A$667</c:f>
              <c:strCache>
                <c:ptCount val="1"/>
                <c:pt idx="0">
                  <c:v>Home Outside</c:v>
                </c:pt>
              </c:strCache>
            </c:strRef>
          </c:tx>
          <c:spPr>
            <a:solidFill>
              <a:schemeClr val="accent3"/>
            </a:solidFill>
          </c:spPr>
          <c:val>
            <c:numRef>
              <c:f>Nonworkday!$B$667:$Y$667</c:f>
              <c:numCache>
                <c:formatCode>General</c:formatCode>
                <c:ptCount val="24"/>
                <c:pt idx="0">
                  <c:v>0.45248868778281193</c:v>
                </c:pt>
                <c:pt idx="1">
                  <c:v>0.45248868778281193</c:v>
                </c:pt>
                <c:pt idx="2">
                  <c:v>0.60331825037707465</c:v>
                </c:pt>
                <c:pt idx="3">
                  <c:v>0.60331825037707465</c:v>
                </c:pt>
                <c:pt idx="4">
                  <c:v>0.45248868778281193</c:v>
                </c:pt>
                <c:pt idx="5">
                  <c:v>1.2066365007541398</c:v>
                </c:pt>
                <c:pt idx="6">
                  <c:v>5.1282051282051277</c:v>
                </c:pt>
                <c:pt idx="7">
                  <c:v>9.9547511312217196</c:v>
                </c:pt>
                <c:pt idx="8">
                  <c:v>14.328808446455422</c:v>
                </c:pt>
                <c:pt idx="9">
                  <c:v>17.043740573152057</c:v>
                </c:pt>
                <c:pt idx="10">
                  <c:v>20.965309200602977</c:v>
                </c:pt>
                <c:pt idx="11">
                  <c:v>23.076923076922906</c:v>
                </c:pt>
                <c:pt idx="12">
                  <c:v>19.155354449472135</c:v>
                </c:pt>
                <c:pt idx="13">
                  <c:v>19.155354449472135</c:v>
                </c:pt>
                <c:pt idx="14">
                  <c:v>19.909502262443429</c:v>
                </c:pt>
                <c:pt idx="15">
                  <c:v>17.496229260934868</c:v>
                </c:pt>
                <c:pt idx="16">
                  <c:v>13.122171945701348</c:v>
                </c:pt>
                <c:pt idx="17">
                  <c:v>10.558069381598793</c:v>
                </c:pt>
                <c:pt idx="18">
                  <c:v>10.708898944192969</c:v>
                </c:pt>
                <c:pt idx="19">
                  <c:v>7.0889894419306181</c:v>
                </c:pt>
                <c:pt idx="20">
                  <c:v>6.1840120663649545</c:v>
                </c:pt>
                <c:pt idx="21">
                  <c:v>2.2624434389140267</c:v>
                </c:pt>
                <c:pt idx="22">
                  <c:v>1.2066365007541398</c:v>
                </c:pt>
                <c:pt idx="23">
                  <c:v>0.90497737556561098</c:v>
                </c:pt>
              </c:numCache>
            </c:numRef>
          </c:val>
        </c:ser>
        <c:ser>
          <c:idx val="2"/>
          <c:order val="2"/>
          <c:tx>
            <c:strRef>
              <c:f>Nonworkday!$A$668</c:f>
              <c:strCache>
                <c:ptCount val="1"/>
                <c:pt idx="0">
                  <c:v>Work/School</c:v>
                </c:pt>
              </c:strCache>
            </c:strRef>
          </c:tx>
          <c:spPr>
            <a:solidFill>
              <a:schemeClr val="accent4"/>
            </a:solidFill>
          </c:spPr>
          <c:val>
            <c:numRef>
              <c:f>Nonworkday!$B$668:$Y$668</c:f>
              <c:numCache>
                <c:formatCode>General</c:formatCode>
                <c:ptCount val="24"/>
                <c:pt idx="0">
                  <c:v>0.90497737556561098</c:v>
                </c:pt>
                <c:pt idx="1">
                  <c:v>0.90497737556561098</c:v>
                </c:pt>
                <c:pt idx="2">
                  <c:v>0.75414781297134803</c:v>
                </c:pt>
                <c:pt idx="3">
                  <c:v>0.75414781297134803</c:v>
                </c:pt>
                <c:pt idx="4">
                  <c:v>0.75414781297134803</c:v>
                </c:pt>
                <c:pt idx="5">
                  <c:v>0.90497737556561098</c:v>
                </c:pt>
                <c:pt idx="6">
                  <c:v>1.0558069381598794</c:v>
                </c:pt>
                <c:pt idx="7">
                  <c:v>1.5082956259426838</c:v>
                </c:pt>
                <c:pt idx="8">
                  <c:v>2.8657616892910998</c:v>
                </c:pt>
                <c:pt idx="9">
                  <c:v>3.7707390648567212</c:v>
                </c:pt>
                <c:pt idx="10">
                  <c:v>4.9773755656108598</c:v>
                </c:pt>
                <c:pt idx="11">
                  <c:v>5.5806938159879413</c:v>
                </c:pt>
                <c:pt idx="12">
                  <c:v>5.7315233785822022</c:v>
                </c:pt>
                <c:pt idx="13">
                  <c:v>4.9773755656108598</c:v>
                </c:pt>
                <c:pt idx="14">
                  <c:v>4.0723981900452504</c:v>
                </c:pt>
                <c:pt idx="15">
                  <c:v>3.9215686274509798</c:v>
                </c:pt>
                <c:pt idx="16">
                  <c:v>4.0723981900452504</c:v>
                </c:pt>
                <c:pt idx="17">
                  <c:v>3.6199095022624452</c:v>
                </c:pt>
                <c:pt idx="18">
                  <c:v>3.3182503770739067</c:v>
                </c:pt>
                <c:pt idx="19">
                  <c:v>2.8657616892910998</c:v>
                </c:pt>
                <c:pt idx="20">
                  <c:v>2.7149321266968331</c:v>
                </c:pt>
                <c:pt idx="21">
                  <c:v>1.3574660633484164</c:v>
                </c:pt>
                <c:pt idx="22">
                  <c:v>0.90497737556561098</c:v>
                </c:pt>
                <c:pt idx="23">
                  <c:v>0.75414781297134803</c:v>
                </c:pt>
              </c:numCache>
            </c:numRef>
          </c:val>
        </c:ser>
        <c:ser>
          <c:idx val="3"/>
          <c:order val="3"/>
          <c:tx>
            <c:strRef>
              <c:f>Nonworkday!$A$669</c:f>
              <c:strCache>
                <c:ptCount val="1"/>
                <c:pt idx="0">
                  <c:v>Other</c:v>
                </c:pt>
              </c:strCache>
            </c:strRef>
          </c:tx>
          <c:spPr>
            <a:solidFill>
              <a:schemeClr val="accent5"/>
            </a:solidFill>
          </c:spPr>
          <c:val>
            <c:numRef>
              <c:f>Nonworkday!$B$669:$Y$669</c:f>
              <c:numCache>
                <c:formatCode>General</c:formatCode>
                <c:ptCount val="24"/>
                <c:pt idx="0">
                  <c:v>0.30165912518853699</c:v>
                </c:pt>
                <c:pt idx="1">
                  <c:v>0.30165912518853699</c:v>
                </c:pt>
                <c:pt idx="2">
                  <c:v>0.30165912518853699</c:v>
                </c:pt>
                <c:pt idx="3">
                  <c:v>0.30165912518853699</c:v>
                </c:pt>
                <c:pt idx="4">
                  <c:v>0.45248868778281193</c:v>
                </c:pt>
                <c:pt idx="5">
                  <c:v>0.60331825037707465</c:v>
                </c:pt>
                <c:pt idx="6">
                  <c:v>1.0558069381598794</c:v>
                </c:pt>
                <c:pt idx="7">
                  <c:v>4.9773755656108598</c:v>
                </c:pt>
                <c:pt idx="8">
                  <c:v>9.8039215686274517</c:v>
                </c:pt>
                <c:pt idx="9">
                  <c:v>14.630467571644052</c:v>
                </c:pt>
                <c:pt idx="10">
                  <c:v>17.948717948717679</c:v>
                </c:pt>
                <c:pt idx="11">
                  <c:v>20.211161387631975</c:v>
                </c:pt>
                <c:pt idx="12">
                  <c:v>17.345399698340717</c:v>
                </c:pt>
                <c:pt idx="13">
                  <c:v>17.797888386123681</c:v>
                </c:pt>
                <c:pt idx="14">
                  <c:v>15.233785822021115</c:v>
                </c:pt>
                <c:pt idx="15">
                  <c:v>12.217194570135746</c:v>
                </c:pt>
                <c:pt idx="16">
                  <c:v>9.9547511312217196</c:v>
                </c:pt>
                <c:pt idx="17">
                  <c:v>8.597285067873301</c:v>
                </c:pt>
                <c:pt idx="18">
                  <c:v>5.7315233785822022</c:v>
                </c:pt>
                <c:pt idx="19">
                  <c:v>4.675716440422323</c:v>
                </c:pt>
                <c:pt idx="20">
                  <c:v>3.1674208144796392</c:v>
                </c:pt>
                <c:pt idx="21">
                  <c:v>2.7149321266968331</c:v>
                </c:pt>
                <c:pt idx="22">
                  <c:v>1.2066365007541398</c:v>
                </c:pt>
                <c:pt idx="23">
                  <c:v>0.90497737556561098</c:v>
                </c:pt>
              </c:numCache>
            </c:numRef>
          </c:val>
        </c:ser>
        <c:ser>
          <c:idx val="4"/>
          <c:order val="4"/>
          <c:tx>
            <c:strRef>
              <c:f>Nonworkday!$A$670</c:f>
              <c:strCache>
                <c:ptCount val="1"/>
                <c:pt idx="0">
                  <c:v>HWY</c:v>
                </c:pt>
              </c:strCache>
            </c:strRef>
          </c:tx>
          <c:spPr>
            <a:solidFill>
              <a:schemeClr val="accent6"/>
            </a:solidFill>
          </c:spPr>
          <c:val>
            <c:numRef>
              <c:f>Nonworkday!$B$670:$Y$670</c:f>
              <c:numCache>
                <c:formatCode>General</c:formatCode>
                <c:ptCount val="24"/>
                <c:pt idx="0">
                  <c:v>0.15082956259426891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0.30165912518853699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0.15082956259426891</c:v>
                </c:pt>
                <c:pt idx="12">
                  <c:v>0.30165912518853699</c:v>
                </c:pt>
                <c:pt idx="13">
                  <c:v>0</c:v>
                </c:pt>
                <c:pt idx="14">
                  <c:v>0</c:v>
                </c:pt>
                <c:pt idx="15">
                  <c:v>0.30165912518853699</c:v>
                </c:pt>
                <c:pt idx="16">
                  <c:v>0.30165912518853699</c:v>
                </c:pt>
                <c:pt idx="17">
                  <c:v>0.15082956259426891</c:v>
                </c:pt>
                <c:pt idx="18">
                  <c:v>0.15082956259426891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</c:numCache>
            </c:numRef>
          </c:val>
        </c:ser>
        <c:overlap val="100"/>
        <c:axId val="152373504"/>
        <c:axId val="152490368"/>
      </c:barChart>
      <c:lineChart>
        <c:grouping val="standard"/>
        <c:ser>
          <c:idx val="7"/>
          <c:order val="5"/>
          <c:tx>
            <c:strRef>
              <c:f>Nonworkday!$A$673</c:f>
              <c:strCache>
                <c:ptCount val="1"/>
                <c:pt idx="0">
                  <c:v>% on Highway</c:v>
                </c:pt>
              </c:strCache>
            </c:strRef>
          </c:tx>
          <c:spPr>
            <a:ln w="44450">
              <a:solidFill>
                <a:schemeClr val="tx1"/>
              </a:solidFill>
            </a:ln>
          </c:spPr>
          <c:marker>
            <c:symbol val="none"/>
          </c:marker>
          <c:val>
            <c:numRef>
              <c:f>Nonworkday!$B$673:$Y$673</c:f>
              <c:numCache>
                <c:formatCode>General</c:formatCode>
                <c:ptCount val="24"/>
                <c:pt idx="0">
                  <c:v>0.15082956259426891</c:v>
                </c:pt>
                <c:pt idx="1">
                  <c:v>0.15082956259426891</c:v>
                </c:pt>
                <c:pt idx="2">
                  <c:v>0</c:v>
                </c:pt>
                <c:pt idx="3">
                  <c:v>0.15082956259426891</c:v>
                </c:pt>
                <c:pt idx="4">
                  <c:v>0</c:v>
                </c:pt>
                <c:pt idx="5">
                  <c:v>0.45248868778281193</c:v>
                </c:pt>
                <c:pt idx="6">
                  <c:v>0.75414781297134803</c:v>
                </c:pt>
                <c:pt idx="7">
                  <c:v>1.9607843137254899</c:v>
                </c:pt>
                <c:pt idx="8">
                  <c:v>4.5248868778279503</c:v>
                </c:pt>
                <c:pt idx="9">
                  <c:v>2.4132730015082937</c:v>
                </c:pt>
                <c:pt idx="10">
                  <c:v>5.8823529411764675</c:v>
                </c:pt>
                <c:pt idx="11">
                  <c:v>4.8265460030165865</c:v>
                </c:pt>
                <c:pt idx="12">
                  <c:v>3.7707390648567212</c:v>
                </c:pt>
                <c:pt idx="13">
                  <c:v>3.6199095022624452</c:v>
                </c:pt>
                <c:pt idx="14">
                  <c:v>3.1674208144796392</c:v>
                </c:pt>
                <c:pt idx="15">
                  <c:v>3.1674208144796392</c:v>
                </c:pt>
                <c:pt idx="16">
                  <c:v>4.675716440422323</c:v>
                </c:pt>
                <c:pt idx="17">
                  <c:v>3.3182503770739067</c:v>
                </c:pt>
                <c:pt idx="18">
                  <c:v>2.2624434389140267</c:v>
                </c:pt>
                <c:pt idx="19">
                  <c:v>1.3574660633484164</c:v>
                </c:pt>
                <c:pt idx="20">
                  <c:v>1.2066365007541398</c:v>
                </c:pt>
                <c:pt idx="21">
                  <c:v>1.0558069381598794</c:v>
                </c:pt>
                <c:pt idx="22">
                  <c:v>0.30165912518853699</c:v>
                </c:pt>
                <c:pt idx="23">
                  <c:v>0</c:v>
                </c:pt>
              </c:numCache>
            </c:numRef>
          </c:val>
        </c:ser>
        <c:marker val="1"/>
        <c:axId val="152492288"/>
        <c:axId val="152506368"/>
      </c:lineChart>
      <c:catAx>
        <c:axId val="15237350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>
                    <a:latin typeface="Times New Roman" pitchFamily="18" charset="0"/>
                    <a:cs typeface="Times New Roman" pitchFamily="18" charset="0"/>
                  </a:rPr>
                  <a:t>Time of Day (Hours)</a:t>
                </a:r>
              </a:p>
            </c:rich>
          </c:tx>
          <c:layout>
            <c:manualLayout>
              <c:xMode val="edge"/>
              <c:yMode val="edge"/>
              <c:x val="0.42333981837176032"/>
              <c:y val="0.91070943176128161"/>
            </c:manualLayout>
          </c:layout>
        </c:title>
        <c:numFmt formatCode="General" sourceLinked="0"/>
        <c:majorTickMark val="none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152490368"/>
        <c:crosses val="autoZero"/>
        <c:auto val="1"/>
        <c:lblAlgn val="ctr"/>
        <c:lblOffset val="100"/>
      </c:catAx>
      <c:valAx>
        <c:axId val="152490368"/>
        <c:scaling>
          <c:orientation val="minMax"/>
          <c:max val="100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>
                    <a:latin typeface="Times New Roman" pitchFamily="18" charset="0"/>
                    <a:cs typeface="Times New Roman" pitchFamily="18" charset="0"/>
                  </a:rPr>
                  <a:t>% In Micro-environment</a:t>
                </a:r>
              </a:p>
            </c:rich>
          </c:tx>
          <c:layout>
            <c:manualLayout>
              <c:xMode val="edge"/>
              <c:yMode val="edge"/>
              <c:x val="4.454343605455738E-3"/>
              <c:y val="0.1891059429089689"/>
            </c:manualLayout>
          </c:layout>
        </c:title>
        <c:numFmt formatCode="General" sourceLinked="1"/>
        <c:majorTickMark val="none"/>
        <c:tickLblPos val="nextTo"/>
        <c:txPr>
          <a:bodyPr/>
          <a:lstStyle/>
          <a:p>
            <a:pPr>
              <a:defRPr sz="1000">
                <a:latin typeface="+mn-lt"/>
                <a:cs typeface="Times New Roman" pitchFamily="18" charset="0"/>
              </a:defRPr>
            </a:pPr>
            <a:endParaRPr lang="en-US"/>
          </a:p>
        </c:txPr>
        <c:crossAx val="152373504"/>
        <c:crosses val="autoZero"/>
        <c:crossBetween val="between"/>
      </c:valAx>
      <c:catAx>
        <c:axId val="152492288"/>
        <c:scaling>
          <c:orientation val="minMax"/>
        </c:scaling>
        <c:delete val="1"/>
        <c:axPos val="b"/>
        <c:tickLblPos val="none"/>
        <c:crossAx val="152506368"/>
        <c:crosses val="autoZero"/>
        <c:auto val="1"/>
        <c:lblAlgn val="ctr"/>
        <c:lblOffset val="100"/>
      </c:catAx>
      <c:valAx>
        <c:axId val="152506368"/>
        <c:scaling>
          <c:orientation val="minMax"/>
        </c:scaling>
        <c:axPos val="r"/>
        <c:title>
          <c:tx>
            <c:rich>
              <a:bodyPr rot="-540000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1000">
                    <a:latin typeface="Times New Roman" pitchFamily="18" charset="0"/>
                    <a:cs typeface="Times New Roman" pitchFamily="18" charset="0"/>
                  </a:rPr>
                  <a:t>% Driving on Highway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sz="1000"/>
            </a:pPr>
            <a:endParaRPr lang="en-US"/>
          </a:p>
        </c:txPr>
        <c:crossAx val="152492288"/>
        <c:crosses val="max"/>
        <c:crossBetween val="between"/>
      </c:valAx>
    </c:plotArea>
    <c:plotVisOnly val="1"/>
    <c:dispBlanksAs val="gap"/>
  </c:chart>
  <c:txPr>
    <a:bodyPr/>
    <a:lstStyle/>
    <a:p>
      <a:pPr>
        <a:defRPr sz="1200"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>Boston University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KLane</dc:creator>
  <cp:keywords/>
  <dc:description/>
  <cp:lastModifiedBy> KLane</cp:lastModifiedBy>
  <cp:revision>2</cp:revision>
  <dcterms:created xsi:type="dcterms:W3CDTF">2013-03-16T19:44:00Z</dcterms:created>
  <dcterms:modified xsi:type="dcterms:W3CDTF">2013-03-16T19:44:00Z</dcterms:modified>
</cp:coreProperties>
</file>