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A8E" w:rsidRDefault="00BB1A8E" w:rsidP="00BB1A8E">
      <w:pPr>
        <w:rPr>
          <w:rFonts w:ascii="Garamond" w:hAnsi="Garamond" w:cs="Aparajita"/>
          <w:b/>
          <w:sz w:val="24"/>
          <w:szCs w:val="24"/>
        </w:rPr>
      </w:pPr>
      <w:bookmarkStart w:id="0" w:name="_GoBack"/>
      <w:bookmarkEnd w:id="0"/>
      <w:r>
        <w:rPr>
          <w:rFonts w:ascii="Garamond" w:hAnsi="Garamond" w:cs="Aparajita"/>
          <w:b/>
          <w:sz w:val="24"/>
          <w:szCs w:val="24"/>
        </w:rPr>
        <w:t>Appendix 1: MBS Items used for PCSA creation:</w:t>
      </w:r>
    </w:p>
    <w:tbl>
      <w:tblPr>
        <w:tblStyle w:val="LightShading"/>
        <w:tblW w:w="12620" w:type="dxa"/>
        <w:tblLook w:val="04A0" w:firstRow="1" w:lastRow="0" w:firstColumn="1" w:lastColumn="0" w:noHBand="0" w:noVBand="1"/>
      </w:tblPr>
      <w:tblGrid>
        <w:gridCol w:w="4320"/>
        <w:gridCol w:w="4200"/>
        <w:gridCol w:w="4100"/>
      </w:tblGrid>
      <w:tr w:rsidR="000C342A" w:rsidRPr="00B74D42" w:rsidTr="000C342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noWrap/>
          </w:tcPr>
          <w:p w:rsidR="000C342A" w:rsidRPr="000C342A" w:rsidRDefault="000C342A" w:rsidP="00B74D42">
            <w:pPr>
              <w:spacing w:after="0" w:line="240" w:lineRule="auto"/>
              <w:rPr>
                <w:rFonts w:eastAsia="Times New Roman"/>
                <w:lang w:eastAsia="en-AU"/>
              </w:rPr>
            </w:pPr>
            <w:r w:rsidRPr="000C342A">
              <w:rPr>
                <w:rFonts w:eastAsia="Times New Roman"/>
                <w:lang w:eastAsia="en-AU"/>
              </w:rPr>
              <w:t>MBS Item Name</w:t>
            </w:r>
          </w:p>
        </w:tc>
        <w:tc>
          <w:tcPr>
            <w:tcW w:w="4200" w:type="dxa"/>
            <w:shd w:val="clear" w:color="auto" w:fill="auto"/>
          </w:tcPr>
          <w:p w:rsidR="000C342A" w:rsidRPr="000C342A" w:rsidRDefault="000C342A" w:rsidP="00B74D4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lang w:eastAsia="en-AU"/>
              </w:rPr>
            </w:pPr>
            <w:r w:rsidRPr="000C342A">
              <w:rPr>
                <w:rFonts w:eastAsia="Times New Roman"/>
                <w:lang w:eastAsia="en-AU"/>
              </w:rPr>
              <w:t>MBS Item Number</w:t>
            </w:r>
          </w:p>
        </w:tc>
        <w:tc>
          <w:tcPr>
            <w:tcW w:w="4100" w:type="dxa"/>
            <w:shd w:val="clear" w:color="auto" w:fill="auto"/>
          </w:tcPr>
          <w:p w:rsidR="000C342A" w:rsidRPr="000C342A" w:rsidRDefault="000C342A" w:rsidP="00B74D4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lang w:eastAsia="en-AU"/>
              </w:rPr>
            </w:pPr>
            <w:r w:rsidRPr="000C342A">
              <w:rPr>
                <w:rFonts w:eastAsia="Times New Roman"/>
                <w:lang w:eastAsia="en-AU"/>
              </w:rPr>
              <w:t>MBS Item Description</w:t>
            </w:r>
          </w:p>
        </w:tc>
      </w:tr>
      <w:tr w:rsidR="00B74D42" w:rsidRPr="00B74D42" w:rsidTr="000C342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noWrap/>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 xml:space="preserve">A1-GP </w:t>
            </w:r>
            <w:r w:rsidR="000C342A" w:rsidRPr="000C342A">
              <w:rPr>
                <w:rFonts w:eastAsia="Times New Roman"/>
                <w:b w:val="0"/>
                <w:lang w:eastAsia="en-AU"/>
              </w:rPr>
              <w:t>attendances</w:t>
            </w:r>
          </w:p>
        </w:tc>
        <w:tc>
          <w:tcPr>
            <w:tcW w:w="42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3,23,36,44</w:t>
            </w:r>
          </w:p>
        </w:tc>
        <w:tc>
          <w:tcPr>
            <w:tcW w:w="41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CONSULTATION AT CONSULTING ROOMS</w:t>
            </w:r>
          </w:p>
        </w:tc>
      </w:tr>
      <w:tr w:rsidR="00B74D42" w:rsidRPr="00B74D42" w:rsidTr="000C342A">
        <w:trPr>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A2-MP other than GP</w:t>
            </w:r>
          </w:p>
        </w:tc>
        <w:tc>
          <w:tcPr>
            <w:tcW w:w="42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52,53,54,57</w:t>
            </w:r>
          </w:p>
        </w:tc>
        <w:tc>
          <w:tcPr>
            <w:tcW w:w="41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CONSULTATION AT A CONSULTING ROOM</w:t>
            </w:r>
          </w:p>
        </w:tc>
      </w:tr>
      <w:tr w:rsidR="00B74D42" w:rsidRPr="00B74D42" w:rsidTr="000C342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noWrap/>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A7 Acupuncture**</w:t>
            </w:r>
          </w:p>
        </w:tc>
        <w:tc>
          <w:tcPr>
            <w:tcW w:w="4200" w:type="dxa"/>
            <w:shd w:val="clear" w:color="auto" w:fill="auto"/>
            <w:noWrap/>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173, 193, 197, 199</w:t>
            </w:r>
          </w:p>
        </w:tc>
        <w:tc>
          <w:tcPr>
            <w:tcW w:w="4100" w:type="dxa"/>
            <w:shd w:val="clear" w:color="auto" w:fill="auto"/>
            <w:noWrap/>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Place other than a hospital</w:t>
            </w:r>
          </w:p>
        </w:tc>
      </w:tr>
      <w:tr w:rsidR="00B74D42" w:rsidRPr="00B74D42" w:rsidTr="000C342A">
        <w:trPr>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noWrap/>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A11 Urgent after hours attendances**</w:t>
            </w:r>
          </w:p>
        </w:tc>
        <w:tc>
          <w:tcPr>
            <w:tcW w:w="4200" w:type="dxa"/>
            <w:shd w:val="clear" w:color="auto" w:fill="auto"/>
            <w:noWrap/>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597,598,599,600</w:t>
            </w:r>
          </w:p>
        </w:tc>
        <w:tc>
          <w:tcPr>
            <w:tcW w:w="4100" w:type="dxa"/>
            <w:shd w:val="clear" w:color="auto" w:fill="auto"/>
            <w:noWrap/>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CONSULTATION AT A CONSULTING ROOM</w:t>
            </w:r>
          </w:p>
        </w:tc>
      </w:tr>
      <w:tr w:rsidR="00B74D42" w:rsidRPr="00B74D42" w:rsidTr="000C342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noWrap/>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A14 Health assessments**</w:t>
            </w:r>
          </w:p>
        </w:tc>
        <w:tc>
          <w:tcPr>
            <w:tcW w:w="4200" w:type="dxa"/>
            <w:shd w:val="clear" w:color="auto" w:fill="auto"/>
            <w:noWrap/>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701, 703, 705, 707, 715</w:t>
            </w:r>
          </w:p>
        </w:tc>
        <w:tc>
          <w:tcPr>
            <w:tcW w:w="41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Need not be in rooms but usually will be</w:t>
            </w:r>
          </w:p>
        </w:tc>
      </w:tr>
      <w:tr w:rsidR="00B74D42" w:rsidRPr="00B74D42" w:rsidTr="000C342A">
        <w:trPr>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A15-GPMP</w:t>
            </w:r>
          </w:p>
        </w:tc>
        <w:tc>
          <w:tcPr>
            <w:tcW w:w="42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 xml:space="preserve">721,723,729, 732 </w:t>
            </w:r>
          </w:p>
        </w:tc>
        <w:tc>
          <w:tcPr>
            <w:tcW w:w="4100" w:type="dxa"/>
            <w:shd w:val="clear" w:color="auto" w:fill="auto"/>
            <w:noWrap/>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CONSULTATION AT A CONSULTING ROOM</w:t>
            </w:r>
          </w:p>
        </w:tc>
      </w:tr>
      <w:tr w:rsidR="00B74D42" w:rsidRPr="00B74D42" w:rsidTr="000C342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A18-GP,  cervical screening</w:t>
            </w:r>
          </w:p>
        </w:tc>
        <w:tc>
          <w:tcPr>
            <w:tcW w:w="42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2497, 2501, 2503, 2504, 2507</w:t>
            </w:r>
          </w:p>
        </w:tc>
        <w:tc>
          <w:tcPr>
            <w:tcW w:w="41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CONSULTATION AT CONSULTING ROOMS</w:t>
            </w:r>
          </w:p>
        </w:tc>
      </w:tr>
      <w:tr w:rsidR="00B74D42" w:rsidRPr="00B74D42" w:rsidTr="000C342A">
        <w:trPr>
          <w:trHeight w:val="6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A18- GP asthma</w:t>
            </w:r>
          </w:p>
        </w:tc>
        <w:tc>
          <w:tcPr>
            <w:tcW w:w="42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2546, 2552, 2558</w:t>
            </w:r>
          </w:p>
        </w:tc>
        <w:tc>
          <w:tcPr>
            <w:tcW w:w="41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CONSULTATION AT CONSULTING ROOMS (cycle of care)</w:t>
            </w:r>
          </w:p>
        </w:tc>
      </w:tr>
      <w:tr w:rsidR="00B74D42" w:rsidRPr="00B74D42" w:rsidTr="000C342A">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A18- GP diabetes</w:t>
            </w:r>
          </w:p>
        </w:tc>
        <w:tc>
          <w:tcPr>
            <w:tcW w:w="42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2517, 2521, 2525</w:t>
            </w:r>
          </w:p>
        </w:tc>
        <w:tc>
          <w:tcPr>
            <w:tcW w:w="41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CONSULTATION AT CONSULTING ROOMS (cycle of care)</w:t>
            </w:r>
          </w:p>
        </w:tc>
      </w:tr>
      <w:tr w:rsidR="00B74D42" w:rsidRPr="00B74D42" w:rsidTr="000C342A">
        <w:trPr>
          <w:trHeight w:val="6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A19-non referred cervical screening</w:t>
            </w:r>
          </w:p>
        </w:tc>
        <w:tc>
          <w:tcPr>
            <w:tcW w:w="42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2598, 2600, 2603, 2606</w:t>
            </w:r>
          </w:p>
        </w:tc>
        <w:tc>
          <w:tcPr>
            <w:tcW w:w="41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Professional attendance at consulting rooms</w:t>
            </w:r>
          </w:p>
        </w:tc>
      </w:tr>
      <w:tr w:rsidR="00B74D42" w:rsidRPr="00B74D42" w:rsidTr="000C342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A19- non referred, asthma</w:t>
            </w:r>
          </w:p>
        </w:tc>
        <w:tc>
          <w:tcPr>
            <w:tcW w:w="42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2664, 2666, 2668</w:t>
            </w:r>
          </w:p>
        </w:tc>
        <w:tc>
          <w:tcPr>
            <w:tcW w:w="41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CONSULTATION AT CONSULTING ROOMS</w:t>
            </w:r>
          </w:p>
        </w:tc>
      </w:tr>
      <w:tr w:rsidR="00B74D42" w:rsidRPr="00B74D42" w:rsidTr="000C342A">
        <w:trPr>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A19-non referred, diabetes</w:t>
            </w:r>
          </w:p>
        </w:tc>
        <w:tc>
          <w:tcPr>
            <w:tcW w:w="42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2620, 2622, 2624</w:t>
            </w:r>
          </w:p>
        </w:tc>
        <w:tc>
          <w:tcPr>
            <w:tcW w:w="41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CONSULTATION AT CONSULTING ROOMS</w:t>
            </w:r>
          </w:p>
        </w:tc>
      </w:tr>
      <w:tr w:rsidR="00B74D42" w:rsidRPr="00B74D42" w:rsidTr="000C342A">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A20-GP mental health care plans</w:t>
            </w:r>
          </w:p>
        </w:tc>
        <w:tc>
          <w:tcPr>
            <w:tcW w:w="42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2700, 2701, 2712, 2713,2715, 2717, 2721, 2725</w:t>
            </w:r>
          </w:p>
        </w:tc>
        <w:tc>
          <w:tcPr>
            <w:tcW w:w="4100" w:type="dxa"/>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CONSULTATION AT CONSULTING ROOMS</w:t>
            </w:r>
          </w:p>
        </w:tc>
      </w:tr>
      <w:tr w:rsidR="00B74D42" w:rsidRPr="00B74D42" w:rsidTr="000C342A">
        <w:trPr>
          <w:trHeight w:val="31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hideMark/>
          </w:tcPr>
          <w:p w:rsidR="00B74D42" w:rsidRPr="00B74D42" w:rsidRDefault="00B74D42" w:rsidP="00B74D42">
            <w:pPr>
              <w:spacing w:after="0" w:line="240" w:lineRule="auto"/>
              <w:rPr>
                <w:rFonts w:eastAsia="Times New Roman"/>
                <w:b w:val="0"/>
                <w:lang w:eastAsia="en-AU"/>
              </w:rPr>
            </w:pPr>
            <w:r w:rsidRPr="00B74D42">
              <w:rPr>
                <w:rFonts w:eastAsia="Times New Roman"/>
                <w:b w:val="0"/>
                <w:lang w:eastAsia="en-AU"/>
              </w:rPr>
              <w:t>A22-after hours (GP attendances)</w:t>
            </w:r>
          </w:p>
        </w:tc>
        <w:tc>
          <w:tcPr>
            <w:tcW w:w="42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5000, 5020, 5040, 5060</w:t>
            </w:r>
          </w:p>
        </w:tc>
        <w:tc>
          <w:tcPr>
            <w:tcW w:w="4100" w:type="dxa"/>
            <w:shd w:val="clear" w:color="auto" w:fill="auto"/>
            <w:hideMark/>
          </w:tcPr>
          <w:p w:rsidR="00B74D42" w:rsidRPr="00B74D42" w:rsidRDefault="00B74D42" w:rsidP="00B74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lang w:eastAsia="en-AU"/>
              </w:rPr>
            </w:pPr>
            <w:r w:rsidRPr="00B74D42">
              <w:rPr>
                <w:rFonts w:eastAsia="Times New Roman"/>
                <w:lang w:eastAsia="en-AU"/>
              </w:rPr>
              <w:t>CONSULTATION AT A CONSULTING ROOM</w:t>
            </w:r>
          </w:p>
        </w:tc>
      </w:tr>
      <w:tr w:rsidR="00B74D42" w:rsidRPr="00B74D42" w:rsidTr="000C342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0" w:type="dxa"/>
            <w:tcBorders>
              <w:bottom w:val="single" w:sz="8" w:space="0" w:color="000000"/>
            </w:tcBorders>
            <w:shd w:val="clear" w:color="auto" w:fill="auto"/>
            <w:hideMark/>
          </w:tcPr>
          <w:p w:rsidR="00B74D42" w:rsidRPr="00B74D42" w:rsidRDefault="000C342A" w:rsidP="00B74D42">
            <w:pPr>
              <w:spacing w:after="0" w:line="240" w:lineRule="auto"/>
              <w:rPr>
                <w:rFonts w:eastAsia="Times New Roman"/>
                <w:b w:val="0"/>
                <w:lang w:eastAsia="en-AU"/>
              </w:rPr>
            </w:pPr>
            <w:r>
              <w:rPr>
                <w:rFonts w:eastAsia="Times New Roman"/>
                <w:b w:val="0"/>
                <w:lang w:eastAsia="en-AU"/>
              </w:rPr>
              <w:t>A23- after hours (non-</w:t>
            </w:r>
            <w:r w:rsidR="00B74D42" w:rsidRPr="00B74D42">
              <w:rPr>
                <w:rFonts w:eastAsia="Times New Roman"/>
                <w:b w:val="0"/>
                <w:lang w:eastAsia="en-AU"/>
              </w:rPr>
              <w:t>referred)</w:t>
            </w:r>
          </w:p>
        </w:tc>
        <w:tc>
          <w:tcPr>
            <w:tcW w:w="4200" w:type="dxa"/>
            <w:tcBorders>
              <w:bottom w:val="single" w:sz="8" w:space="0" w:color="000000"/>
            </w:tcBorders>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5200, 5203, 5207, 5208,</w:t>
            </w:r>
          </w:p>
        </w:tc>
        <w:tc>
          <w:tcPr>
            <w:tcW w:w="4100" w:type="dxa"/>
            <w:tcBorders>
              <w:bottom w:val="single" w:sz="8" w:space="0" w:color="000000"/>
            </w:tcBorders>
            <w:shd w:val="clear" w:color="auto" w:fill="auto"/>
            <w:hideMark/>
          </w:tcPr>
          <w:p w:rsidR="00B74D42" w:rsidRPr="00B74D42" w:rsidRDefault="00B74D42" w:rsidP="00B74D4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lang w:eastAsia="en-AU"/>
              </w:rPr>
            </w:pPr>
            <w:r w:rsidRPr="00B74D42">
              <w:rPr>
                <w:rFonts w:eastAsia="Times New Roman"/>
                <w:lang w:eastAsia="en-AU"/>
              </w:rPr>
              <w:t>CONSULTATION AT A CONSULTING ROOM</w:t>
            </w:r>
          </w:p>
        </w:tc>
      </w:tr>
    </w:tbl>
    <w:p w:rsidR="00BB1A8E" w:rsidRDefault="00BB1A8E" w:rsidP="00E81D38">
      <w:pPr>
        <w:rPr>
          <w:rFonts w:ascii="Garamond" w:hAnsi="Garamond" w:cs="Aparajita"/>
          <w:b/>
          <w:sz w:val="24"/>
          <w:szCs w:val="24"/>
        </w:rPr>
      </w:pPr>
    </w:p>
    <w:p w:rsidR="00B74D42" w:rsidRDefault="00B74D42" w:rsidP="00E81D38">
      <w:pPr>
        <w:rPr>
          <w:rFonts w:ascii="Garamond" w:hAnsi="Garamond" w:cs="Aparajita"/>
          <w:b/>
          <w:sz w:val="24"/>
          <w:szCs w:val="24"/>
        </w:rPr>
      </w:pPr>
    </w:p>
    <w:p w:rsidR="00AB3F06" w:rsidRDefault="00AB3F06" w:rsidP="00E81D38">
      <w:pPr>
        <w:rPr>
          <w:rFonts w:ascii="Garamond" w:hAnsi="Garamond" w:cs="Aparajita"/>
          <w:b/>
          <w:sz w:val="24"/>
          <w:szCs w:val="24"/>
        </w:rPr>
        <w:sectPr w:rsidR="00AB3F06" w:rsidSect="00AB3F06">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cols w:space="708"/>
          <w:docGrid w:linePitch="360"/>
        </w:sectPr>
      </w:pPr>
    </w:p>
    <w:p w:rsidR="00E81D38" w:rsidRPr="00D87246" w:rsidRDefault="00D87246" w:rsidP="00E81D38">
      <w:pPr>
        <w:rPr>
          <w:rFonts w:ascii="Garamond" w:hAnsi="Garamond" w:cs="Aparajita"/>
          <w:b/>
          <w:sz w:val="24"/>
          <w:szCs w:val="24"/>
        </w:rPr>
      </w:pPr>
      <w:r w:rsidRPr="00D87246">
        <w:rPr>
          <w:rFonts w:ascii="Garamond" w:hAnsi="Garamond" w:cs="Aparajita"/>
          <w:b/>
          <w:sz w:val="24"/>
          <w:szCs w:val="24"/>
        </w:rPr>
        <w:lastRenderedPageBreak/>
        <w:t xml:space="preserve">Appendix </w:t>
      </w:r>
      <w:r w:rsidR="00BB1A8E">
        <w:rPr>
          <w:rFonts w:ascii="Garamond" w:hAnsi="Garamond" w:cs="Aparajita"/>
          <w:b/>
          <w:sz w:val="24"/>
          <w:szCs w:val="24"/>
        </w:rPr>
        <w:t>2</w:t>
      </w:r>
      <w:r w:rsidRPr="00D87246">
        <w:rPr>
          <w:rFonts w:ascii="Garamond" w:hAnsi="Garamond" w:cs="Aparajita"/>
          <w:b/>
          <w:sz w:val="24"/>
          <w:szCs w:val="24"/>
        </w:rPr>
        <w:t xml:space="preserve">: </w:t>
      </w:r>
      <w:r w:rsidR="00E81D38" w:rsidRPr="00D87246">
        <w:rPr>
          <w:rFonts w:ascii="Garamond" w:hAnsi="Garamond" w:cs="Aparajita"/>
          <w:b/>
          <w:sz w:val="24"/>
          <w:szCs w:val="24"/>
        </w:rPr>
        <w:t>Comparing PCSAs created from different datasets:</w:t>
      </w:r>
    </w:p>
    <w:p w:rsidR="00DB1A49" w:rsidRDefault="00FD4460" w:rsidP="00E81D38">
      <w:pPr>
        <w:rPr>
          <w:rFonts w:ascii="Aparajita" w:hAnsi="Aparajita" w:cs="Aparajita"/>
        </w:rPr>
      </w:pPr>
      <w:r w:rsidRPr="00FD4460">
        <w:rPr>
          <w:rFonts w:ascii="Aparajita" w:hAnsi="Aparajita" w:cs="Aparajita"/>
        </w:rPr>
        <w:t xml:space="preserve">Three datasets, corresponding to three different time window sizes </w:t>
      </w:r>
      <w:r w:rsidR="00F22BE4">
        <w:rPr>
          <w:rFonts w:ascii="Aparajita" w:hAnsi="Aparajita" w:cs="Aparajita"/>
        </w:rPr>
        <w:t xml:space="preserve">or time ranges </w:t>
      </w:r>
      <w:r w:rsidRPr="00FD4460">
        <w:rPr>
          <w:rFonts w:ascii="Aparajita" w:hAnsi="Aparajita" w:cs="Aparajita"/>
        </w:rPr>
        <w:t xml:space="preserve">were </w:t>
      </w:r>
      <w:r w:rsidR="005E166A" w:rsidRPr="00FD4460">
        <w:rPr>
          <w:rFonts w:ascii="Aparajita" w:hAnsi="Aparajita" w:cs="Aparajita"/>
        </w:rPr>
        <w:t>created:</w:t>
      </w:r>
    </w:p>
    <w:p w:rsidR="00DB1A49" w:rsidRDefault="00DB1A49" w:rsidP="00DB1A49">
      <w:pPr>
        <w:numPr>
          <w:ilvl w:val="0"/>
          <w:numId w:val="2"/>
        </w:numPr>
        <w:spacing w:after="0"/>
        <w:ind w:left="760" w:hanging="357"/>
        <w:rPr>
          <w:rFonts w:ascii="Aparajita" w:hAnsi="Aparajita" w:cs="Aparajita"/>
        </w:rPr>
      </w:pPr>
      <w:r>
        <w:rPr>
          <w:rFonts w:ascii="Aparajita" w:hAnsi="Aparajita" w:cs="Aparajita"/>
        </w:rPr>
        <w:t>The f</w:t>
      </w:r>
      <w:r w:rsidR="00FD4460" w:rsidRPr="00FD4460">
        <w:rPr>
          <w:rFonts w:ascii="Aparajita" w:hAnsi="Aparajita" w:cs="Aparajita"/>
        </w:rPr>
        <w:t>ull time period 2003 – 2012</w:t>
      </w:r>
      <w:r w:rsidR="00890D49">
        <w:rPr>
          <w:rFonts w:ascii="Aparajita" w:hAnsi="Aparajita" w:cs="Aparajita"/>
        </w:rPr>
        <w:t xml:space="preserve"> for which MBS data were provided</w:t>
      </w:r>
      <w:r w:rsidR="00FD4460" w:rsidRPr="00FD4460">
        <w:rPr>
          <w:rFonts w:ascii="Aparajita" w:hAnsi="Aparajita" w:cs="Aparajita"/>
        </w:rPr>
        <w:t xml:space="preserve"> </w:t>
      </w:r>
      <w:r w:rsidR="0087224E">
        <w:rPr>
          <w:rFonts w:ascii="Aparajita" w:hAnsi="Aparajita" w:cs="Aparajita"/>
        </w:rPr>
        <w:t>(Called Full time period data)</w:t>
      </w:r>
    </w:p>
    <w:p w:rsidR="00DB1A49" w:rsidRDefault="00FD4460" w:rsidP="00DB1A49">
      <w:pPr>
        <w:numPr>
          <w:ilvl w:val="0"/>
          <w:numId w:val="2"/>
        </w:numPr>
        <w:spacing w:after="0"/>
        <w:ind w:left="760" w:hanging="357"/>
        <w:rPr>
          <w:rFonts w:ascii="Aparajita" w:hAnsi="Aparajita" w:cs="Aparajita"/>
        </w:rPr>
      </w:pPr>
      <w:r w:rsidRPr="00FD4460">
        <w:rPr>
          <w:rFonts w:ascii="Aparajita" w:hAnsi="Aparajita" w:cs="Aparajita"/>
        </w:rPr>
        <w:t xml:space="preserve"> One year period: 183 days (half year) before and after the 45 and Up Study survey date of participants</w:t>
      </w:r>
      <w:r w:rsidR="0087224E">
        <w:rPr>
          <w:rFonts w:ascii="Aparajita" w:hAnsi="Aparajita" w:cs="Aparajita"/>
        </w:rPr>
        <w:t xml:space="preserve"> (Called </w:t>
      </w:r>
      <w:proofErr w:type="spellStart"/>
      <w:r w:rsidR="00396A00">
        <w:rPr>
          <w:rFonts w:ascii="Aparajita" w:hAnsi="Aparajita" w:cs="Aparajita"/>
        </w:rPr>
        <w:t>Halfyear</w:t>
      </w:r>
      <w:proofErr w:type="spellEnd"/>
      <w:r w:rsidR="00396A00">
        <w:rPr>
          <w:rFonts w:ascii="Aparajita" w:hAnsi="Aparajita" w:cs="Aparajita"/>
        </w:rPr>
        <w:t xml:space="preserve"> data)</w:t>
      </w:r>
    </w:p>
    <w:p w:rsidR="00DB1A49" w:rsidRDefault="00FD4460" w:rsidP="00DB1A49">
      <w:pPr>
        <w:numPr>
          <w:ilvl w:val="0"/>
          <w:numId w:val="2"/>
        </w:numPr>
        <w:spacing w:after="0"/>
        <w:ind w:left="760" w:hanging="357"/>
        <w:rPr>
          <w:rFonts w:ascii="Aparajita" w:hAnsi="Aparajita" w:cs="Aparajita"/>
        </w:rPr>
      </w:pPr>
      <w:r w:rsidRPr="00FD4460">
        <w:rPr>
          <w:rFonts w:ascii="Aparajita" w:hAnsi="Aparajita" w:cs="Aparajita"/>
        </w:rPr>
        <w:t xml:space="preserve"> Two year period: 365 days (one year) before and after </w:t>
      </w:r>
      <w:r w:rsidR="00396A00">
        <w:rPr>
          <w:rFonts w:ascii="Aparajita" w:hAnsi="Aparajita" w:cs="Aparajita"/>
        </w:rPr>
        <w:t xml:space="preserve">the survey date of participants (Called </w:t>
      </w:r>
      <w:proofErr w:type="spellStart"/>
      <w:r w:rsidR="00396A00">
        <w:rPr>
          <w:rFonts w:ascii="Aparajita" w:hAnsi="Aparajita" w:cs="Aparajita"/>
        </w:rPr>
        <w:t>Oneyear</w:t>
      </w:r>
      <w:proofErr w:type="spellEnd"/>
      <w:r w:rsidR="00396A00">
        <w:rPr>
          <w:rFonts w:ascii="Aparajita" w:hAnsi="Aparajita" w:cs="Aparajita"/>
        </w:rPr>
        <w:t xml:space="preserve"> data)</w:t>
      </w:r>
    </w:p>
    <w:p w:rsidR="0087224E" w:rsidRDefault="00EF32B2" w:rsidP="00DB1A49">
      <w:pPr>
        <w:spacing w:after="0"/>
        <w:rPr>
          <w:rFonts w:ascii="Aparajita" w:hAnsi="Aparajita" w:cs="Aparajita"/>
        </w:rPr>
      </w:pPr>
      <w:r>
        <w:rPr>
          <w:rFonts w:ascii="Aparajita" w:hAnsi="Aparajita" w:cs="Aparajita"/>
        </w:rPr>
        <w:t>The figure below</w:t>
      </w:r>
      <w:r w:rsidR="00890D49">
        <w:rPr>
          <w:rFonts w:ascii="Aparajita" w:hAnsi="Aparajita" w:cs="Aparajita"/>
        </w:rPr>
        <w:t xml:space="preserve"> (Figure A1)</w:t>
      </w:r>
      <w:r>
        <w:rPr>
          <w:rFonts w:ascii="Aparajita" w:hAnsi="Aparajita" w:cs="Aparajita"/>
        </w:rPr>
        <w:t xml:space="preserve"> illustrates the difference between these datasets.</w:t>
      </w:r>
      <w:r w:rsidR="00FD4460">
        <w:rPr>
          <w:rFonts w:ascii="Aparajita" w:hAnsi="Aparajita" w:cs="Aparajita"/>
        </w:rPr>
        <w:t xml:space="preserve"> </w:t>
      </w:r>
    </w:p>
    <w:p w:rsidR="00FD4460" w:rsidRDefault="00FD4460" w:rsidP="00DB1A49">
      <w:pPr>
        <w:spacing w:after="0"/>
        <w:rPr>
          <w:rFonts w:ascii="Aparajita" w:hAnsi="Aparajita" w:cs="Aparajita"/>
        </w:rPr>
      </w:pPr>
    </w:p>
    <w:p w:rsidR="00FD4460" w:rsidRPr="00EF32B2" w:rsidRDefault="00EF32B2" w:rsidP="00E81D38">
      <w:pPr>
        <w:rPr>
          <w:rFonts w:ascii="Aparajita" w:hAnsi="Aparajita" w:cs="Aparajita"/>
          <w:b/>
        </w:rPr>
      </w:pPr>
      <w:r w:rsidRPr="00EF32B2">
        <w:rPr>
          <w:rFonts w:ascii="Aparajita" w:hAnsi="Aparajita" w:cs="Aparajita"/>
          <w:b/>
        </w:rPr>
        <w:t>Fig A</w:t>
      </w:r>
      <w:r w:rsidR="00BB1A8E">
        <w:rPr>
          <w:rFonts w:ascii="Aparajita" w:hAnsi="Aparajita" w:cs="Aparajita"/>
          <w:b/>
        </w:rPr>
        <w:t>2</w:t>
      </w:r>
      <w:r w:rsidRPr="00EF32B2">
        <w:rPr>
          <w:rFonts w:ascii="Aparajita" w:hAnsi="Aparajita" w:cs="Aparajita"/>
          <w:b/>
        </w:rPr>
        <w:t>: Three sets of linked survey-administrative data</w:t>
      </w:r>
    </w:p>
    <w:p w:rsidR="00FD4460" w:rsidRDefault="00926910" w:rsidP="00E81D38">
      <w:pPr>
        <w:rPr>
          <w:rFonts w:ascii="Aparajita" w:hAnsi="Aparajita" w:cs="Aparajita"/>
        </w:rPr>
      </w:pPr>
      <w:r>
        <w:rPr>
          <w:rFonts w:ascii="Aparajita" w:hAnsi="Aparajita" w:cs="Aparajita"/>
          <w:noProof/>
          <w:lang w:eastAsia="en-AU"/>
        </w:rPr>
        <w:drawing>
          <wp:inline distT="0" distB="0" distL="0" distR="0" wp14:anchorId="200AFAE0" wp14:editId="60471713">
            <wp:extent cx="5731510" cy="1539875"/>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Hunter_92 Apr. 29 13.27.jpg"/>
                    <pic:cNvPicPr/>
                  </pic:nvPicPr>
                  <pic:blipFill>
                    <a:blip r:embed="rId14">
                      <a:extLst>
                        <a:ext uri="{28A0092B-C50C-407E-A947-70E740481C1C}">
                          <a14:useLocalDpi xmlns:a14="http://schemas.microsoft.com/office/drawing/2010/main" val="0"/>
                        </a:ext>
                      </a:extLst>
                    </a:blip>
                    <a:stretch>
                      <a:fillRect/>
                    </a:stretch>
                  </pic:blipFill>
                  <pic:spPr>
                    <a:xfrm>
                      <a:off x="0" y="0"/>
                      <a:ext cx="5731510" cy="1539875"/>
                    </a:xfrm>
                    <a:prstGeom prst="rect">
                      <a:avLst/>
                    </a:prstGeom>
                  </pic:spPr>
                </pic:pic>
              </a:graphicData>
            </a:graphic>
          </wp:inline>
        </w:drawing>
      </w:r>
    </w:p>
    <w:p w:rsidR="00142C3E" w:rsidRDefault="00195FD2" w:rsidP="00142C3E">
      <w:pPr>
        <w:rPr>
          <w:rFonts w:ascii="Aparajita" w:hAnsi="Aparajita" w:cs="Aparajita"/>
        </w:rPr>
      </w:pPr>
      <w:r>
        <w:rPr>
          <w:rFonts w:ascii="Aparajita" w:hAnsi="Aparajita" w:cs="Aparajita"/>
        </w:rPr>
        <w:t xml:space="preserve">We base our choice of dataset by examining/comparing preliminary outputs (PCSAs) from </w:t>
      </w:r>
      <w:r w:rsidR="00305C09">
        <w:rPr>
          <w:rFonts w:ascii="Aparajita" w:hAnsi="Aparajita" w:cs="Aparajita"/>
        </w:rPr>
        <w:t xml:space="preserve">each of </w:t>
      </w:r>
      <w:r>
        <w:rPr>
          <w:rFonts w:ascii="Aparajita" w:hAnsi="Aparajita" w:cs="Aparajita"/>
        </w:rPr>
        <w:t xml:space="preserve">them. </w:t>
      </w:r>
      <w:r w:rsidR="00142C3E">
        <w:rPr>
          <w:rFonts w:ascii="Aparajita" w:hAnsi="Aparajita" w:cs="Aparajita"/>
        </w:rPr>
        <w:t xml:space="preserve">We ask two questions. </w:t>
      </w:r>
      <w:proofErr w:type="gramStart"/>
      <w:r w:rsidR="00142C3E">
        <w:rPr>
          <w:rFonts w:ascii="Aparajita" w:hAnsi="Aparajita" w:cs="Aparajita"/>
        </w:rPr>
        <w:t xml:space="preserve">First, </w:t>
      </w:r>
      <w:r w:rsidR="00616412">
        <w:rPr>
          <w:rFonts w:ascii="Aparajita" w:hAnsi="Aparajita" w:cs="Aparajita"/>
        </w:rPr>
        <w:t xml:space="preserve">how </w:t>
      </w:r>
      <w:r w:rsidR="00142C3E">
        <w:rPr>
          <w:rFonts w:ascii="Aparajita" w:hAnsi="Aparajita" w:cs="Aparajita"/>
        </w:rPr>
        <w:t>similar or different are the Localization Indices (LIs) of PCSAs</w:t>
      </w:r>
      <w:r>
        <w:rPr>
          <w:rFonts w:ascii="Aparajita" w:hAnsi="Aparajita" w:cs="Aparajita"/>
        </w:rPr>
        <w:t xml:space="preserve"> (See methods)</w:t>
      </w:r>
      <w:r w:rsidR="00142C3E">
        <w:rPr>
          <w:rFonts w:ascii="Aparajita" w:hAnsi="Aparajita" w:cs="Aparajita"/>
        </w:rPr>
        <w:t xml:space="preserve"> created from the three datasets?</w:t>
      </w:r>
      <w:proofErr w:type="gramEnd"/>
      <w:r w:rsidR="00142C3E">
        <w:rPr>
          <w:rFonts w:ascii="Aparajita" w:hAnsi="Aparajita" w:cs="Aparajita"/>
        </w:rPr>
        <w:t xml:space="preserve"> Second, we ask, how similar or different are the geographies of the PCSAs created from the three datasets. We are specifically interested in the number of people that are differentially allocated when one dataset is chosen over another. We believe that population serves as a better metric of comparison than geometric area. </w:t>
      </w:r>
    </w:p>
    <w:p w:rsidR="00E81D38" w:rsidRDefault="00142C3E" w:rsidP="00195FD2">
      <w:pPr>
        <w:autoSpaceDE w:val="0"/>
        <w:autoSpaceDN w:val="0"/>
        <w:adjustRightInd w:val="0"/>
        <w:spacing w:after="0" w:line="240" w:lineRule="auto"/>
        <w:rPr>
          <w:rFonts w:ascii="Aparajita" w:hAnsi="Aparajita" w:cs="Aparajita"/>
        </w:rPr>
      </w:pPr>
      <w:r>
        <w:rPr>
          <w:rFonts w:ascii="Aparajita" w:hAnsi="Aparajita" w:cs="Aparajita"/>
        </w:rPr>
        <w:t xml:space="preserve">We use the population </w:t>
      </w:r>
      <w:r w:rsidR="00E81D38" w:rsidRPr="00FC1A08">
        <w:rPr>
          <w:rFonts w:ascii="Aparajita" w:hAnsi="Aparajita" w:cs="Aparajita"/>
        </w:rPr>
        <w:t>Jaccard Coefficient</w:t>
      </w:r>
      <w:r>
        <w:rPr>
          <w:rFonts w:ascii="Aparajita" w:hAnsi="Aparajita" w:cs="Aparajita"/>
        </w:rPr>
        <w:t xml:space="preserve">, a modified version of the area Jaccard Coefficient </w:t>
      </w:r>
      <w:r w:rsidR="0075630B" w:rsidRPr="0075630B">
        <w:rPr>
          <w:rFonts w:ascii="Aparajita" w:hAnsi="Aparajita" w:cs="Aparajita"/>
          <w:lang w:eastAsia="en-AU"/>
        </w:rPr>
        <w:t>(</w:t>
      </w:r>
      <w:hyperlink r:id="rId15" w:history="1">
        <w:r w:rsidR="0075630B" w:rsidRPr="0075630B">
          <w:rPr>
            <w:rFonts w:ascii="Aparajita" w:hAnsi="Aparajita" w:cs="Aparajita"/>
            <w:lang w:eastAsia="en-AU"/>
          </w:rPr>
          <w:t xml:space="preserve">Farmer and </w:t>
        </w:r>
        <w:proofErr w:type="spellStart"/>
        <w:r w:rsidR="0075630B" w:rsidRPr="0075630B">
          <w:rPr>
            <w:rFonts w:ascii="Aparajita" w:hAnsi="Aparajita" w:cs="Aparajita"/>
            <w:lang w:eastAsia="en-AU"/>
          </w:rPr>
          <w:t>Fotheringham</w:t>
        </w:r>
        <w:proofErr w:type="spellEnd"/>
        <w:r w:rsidR="0075630B" w:rsidRPr="0075630B">
          <w:rPr>
            <w:rFonts w:ascii="Aparajita" w:hAnsi="Aparajita" w:cs="Aparajita"/>
            <w:lang w:eastAsia="en-AU"/>
          </w:rPr>
          <w:t xml:space="preserve"> 2011</w:t>
        </w:r>
      </w:hyperlink>
      <w:r w:rsidR="0075630B">
        <w:rPr>
          <w:rFonts w:ascii="Aparajita" w:hAnsi="Aparajita" w:cs="Aparajita"/>
          <w:lang w:eastAsia="en-AU"/>
        </w:rPr>
        <w:t xml:space="preserve">), </w:t>
      </w:r>
      <w:r>
        <w:rPr>
          <w:rFonts w:ascii="Aparajita" w:hAnsi="Aparajita" w:cs="Aparajita"/>
        </w:rPr>
        <w:t xml:space="preserve">to </w:t>
      </w:r>
      <w:r w:rsidR="00E81D38" w:rsidRPr="00FC1A08">
        <w:rPr>
          <w:rFonts w:ascii="Aparajita" w:hAnsi="Aparajita" w:cs="Aparajita"/>
        </w:rPr>
        <w:t xml:space="preserve">compare the level of commonality between the PCSAs created by using the three datasets. This is calculated as the </w:t>
      </w:r>
      <w:r w:rsidR="0095646D" w:rsidRPr="00FC1A08">
        <w:rPr>
          <w:rFonts w:ascii="Aparajita" w:hAnsi="Aparajita" w:cs="Aparajita"/>
        </w:rPr>
        <w:t>intersection,</w:t>
      </w:r>
      <w:r w:rsidR="00E81D38" w:rsidRPr="00FC1A08">
        <w:rPr>
          <w:rFonts w:ascii="Aparajita" w:hAnsi="Aparajita" w:cs="Aparajita"/>
        </w:rPr>
        <w:t xml:space="preserve"> agreement or common </w:t>
      </w:r>
      <w:r>
        <w:rPr>
          <w:rFonts w:ascii="Aparajita" w:hAnsi="Aparajita" w:cs="Aparajita"/>
        </w:rPr>
        <w:t>population</w:t>
      </w:r>
      <w:r w:rsidR="00E81D38" w:rsidRPr="00FC1A08">
        <w:rPr>
          <w:rFonts w:ascii="Aparajita" w:hAnsi="Aparajita" w:cs="Aparajita"/>
        </w:rPr>
        <w:t xml:space="preserve"> between two sets of PCSAs, divided by the total </w:t>
      </w:r>
      <w:r w:rsidR="002E160C">
        <w:rPr>
          <w:rFonts w:ascii="Aparajita" w:hAnsi="Aparajita" w:cs="Aparajita"/>
        </w:rPr>
        <w:t xml:space="preserve">patient </w:t>
      </w:r>
      <w:r>
        <w:rPr>
          <w:rFonts w:ascii="Aparajita" w:hAnsi="Aparajita" w:cs="Aparajita"/>
        </w:rPr>
        <w:t>population</w:t>
      </w:r>
      <w:r w:rsidR="00E81D38" w:rsidRPr="00FC1A08">
        <w:rPr>
          <w:rFonts w:ascii="Aparajita" w:hAnsi="Aparajita" w:cs="Aparajita"/>
        </w:rPr>
        <w:t xml:space="preserve"> in any one set of PCSA</w:t>
      </w:r>
      <w:r>
        <w:rPr>
          <w:rFonts w:ascii="Aparajita" w:hAnsi="Aparajita" w:cs="Aparajita"/>
        </w:rPr>
        <w:t xml:space="preserve">. </w:t>
      </w:r>
      <w:r w:rsidR="002E160C">
        <w:rPr>
          <w:rFonts w:ascii="Aparajita" w:hAnsi="Aparajita" w:cs="Aparajita"/>
        </w:rPr>
        <w:t xml:space="preserve">There are small differences in patient populations in gPOAs </w:t>
      </w:r>
      <w:r w:rsidR="00616412">
        <w:rPr>
          <w:rFonts w:ascii="Aparajita" w:hAnsi="Aparajita" w:cs="Aparajita"/>
        </w:rPr>
        <w:t>in</w:t>
      </w:r>
      <w:r w:rsidR="002E160C">
        <w:rPr>
          <w:rFonts w:ascii="Aparajita" w:hAnsi="Aparajita" w:cs="Aparajita"/>
        </w:rPr>
        <w:t xml:space="preserve"> the three datasets, </w:t>
      </w:r>
      <w:r w:rsidR="00616412">
        <w:rPr>
          <w:rFonts w:ascii="Aparajita" w:hAnsi="Aparajita" w:cs="Aparajita"/>
        </w:rPr>
        <w:t xml:space="preserve">thus </w:t>
      </w:r>
      <w:r w:rsidR="002E160C">
        <w:rPr>
          <w:rFonts w:ascii="Aparajita" w:hAnsi="Aparajita" w:cs="Aparajita"/>
        </w:rPr>
        <w:t>for the purpose of this analysis; the patient population in the one year dataset was used</w:t>
      </w:r>
      <w:r w:rsidR="00195FD2">
        <w:rPr>
          <w:rFonts w:ascii="Aparajita" w:hAnsi="Aparajita" w:cs="Aparajita"/>
        </w:rPr>
        <w:t xml:space="preserve"> as divisor</w:t>
      </w:r>
      <w:r w:rsidR="002E160C">
        <w:rPr>
          <w:rFonts w:ascii="Aparajita" w:hAnsi="Aparajita" w:cs="Aparajita"/>
        </w:rPr>
        <w:t>. Using other years, does not si</w:t>
      </w:r>
      <w:r w:rsidR="00195FD2">
        <w:rPr>
          <w:rFonts w:ascii="Aparajita" w:hAnsi="Aparajita" w:cs="Aparajita"/>
        </w:rPr>
        <w:t>gnificantly change the results. To</w:t>
      </w:r>
      <w:r w:rsidR="002E160C">
        <w:rPr>
          <w:rFonts w:ascii="Aparajita" w:hAnsi="Aparajita" w:cs="Aparajita"/>
        </w:rPr>
        <w:t xml:space="preserve"> illustrate the population Jaccard Coefficient calculation with an example</w:t>
      </w:r>
      <w:r w:rsidR="00E81D38" w:rsidRPr="00FC1A08">
        <w:rPr>
          <w:rFonts w:ascii="Aparajita" w:hAnsi="Aparajita" w:cs="Aparajita"/>
        </w:rPr>
        <w:t xml:space="preserve">, </w:t>
      </w:r>
      <w:r w:rsidR="00F22BE4">
        <w:rPr>
          <w:rFonts w:ascii="Aparajita" w:hAnsi="Aparajita" w:cs="Aparajita"/>
        </w:rPr>
        <w:t xml:space="preserve"> </w:t>
      </w:r>
      <w:r w:rsidR="002E160C" w:rsidRPr="00FC1A08">
        <w:rPr>
          <w:rFonts w:ascii="Aparajita" w:hAnsi="Aparajita" w:cs="Aparajita"/>
        </w:rPr>
        <w:t>if in</w:t>
      </w:r>
      <w:r w:rsidR="00E81D38" w:rsidRPr="00FC1A08">
        <w:rPr>
          <w:rFonts w:ascii="Aparajita" w:hAnsi="Aparajita" w:cs="Aparajita"/>
        </w:rPr>
        <w:t xml:space="preserve"> one PCSA dataset</w:t>
      </w:r>
      <w:r w:rsidR="00F22BE4">
        <w:rPr>
          <w:rFonts w:ascii="Aparajita" w:hAnsi="Aparajita" w:cs="Aparajita"/>
        </w:rPr>
        <w:t xml:space="preserve"> corresponding to one time window</w:t>
      </w:r>
      <w:r w:rsidR="00E81D38" w:rsidRPr="00FC1A08">
        <w:rPr>
          <w:rFonts w:ascii="Aparajita" w:hAnsi="Aparajita" w:cs="Aparajita"/>
        </w:rPr>
        <w:t xml:space="preserve">, PCSA X is comprised </w:t>
      </w:r>
      <w:r w:rsidR="002E160C" w:rsidRPr="00FC1A08">
        <w:rPr>
          <w:rFonts w:ascii="Aparajita" w:hAnsi="Aparajita" w:cs="Aparajita"/>
        </w:rPr>
        <w:t>of gPOA</w:t>
      </w:r>
      <w:r w:rsidR="00E81D38" w:rsidRPr="00FC1A08">
        <w:rPr>
          <w:rFonts w:ascii="Aparajita" w:hAnsi="Aparajita" w:cs="Aparajita"/>
        </w:rPr>
        <w:t xml:space="preserve"> 2</w:t>
      </w:r>
      <w:r w:rsidR="00F22BE4">
        <w:rPr>
          <w:rFonts w:ascii="Aparajita" w:hAnsi="Aparajita" w:cs="Aparajita"/>
        </w:rPr>
        <w:t>111, 2112 and 211</w:t>
      </w:r>
      <w:r w:rsidR="00E81D38" w:rsidRPr="00FC1A08">
        <w:rPr>
          <w:rFonts w:ascii="Aparajita" w:hAnsi="Aparajita" w:cs="Aparajita"/>
        </w:rPr>
        <w:t>3, while in another PCSA dataset</w:t>
      </w:r>
      <w:r w:rsidR="00F22BE4">
        <w:rPr>
          <w:rFonts w:ascii="Aparajita" w:hAnsi="Aparajita" w:cs="Aparajita"/>
        </w:rPr>
        <w:t xml:space="preserve"> corresponding to another time window</w:t>
      </w:r>
      <w:r w:rsidR="00E81D38" w:rsidRPr="00FC1A08">
        <w:rPr>
          <w:rFonts w:ascii="Aparajita" w:hAnsi="Aparajita" w:cs="Aparajita"/>
        </w:rPr>
        <w:t xml:space="preserve"> the</w:t>
      </w:r>
      <w:r w:rsidR="00890D49">
        <w:rPr>
          <w:rFonts w:ascii="Aparajita" w:hAnsi="Aparajita" w:cs="Aparajita"/>
        </w:rPr>
        <w:t xml:space="preserve"> gPOAs (</w:t>
      </w:r>
      <w:r w:rsidR="00890D49" w:rsidRPr="00FC1A08">
        <w:rPr>
          <w:rFonts w:ascii="Aparajita" w:hAnsi="Aparajita" w:cs="Aparajita"/>
        </w:rPr>
        <w:t>2</w:t>
      </w:r>
      <w:r w:rsidR="00890D49">
        <w:rPr>
          <w:rFonts w:ascii="Aparajita" w:hAnsi="Aparajita" w:cs="Aparajita"/>
        </w:rPr>
        <w:t>111, 2112 and 211</w:t>
      </w:r>
      <w:r w:rsidR="00890D49" w:rsidRPr="00FC1A08">
        <w:rPr>
          <w:rFonts w:ascii="Aparajita" w:hAnsi="Aparajita" w:cs="Aparajita"/>
        </w:rPr>
        <w:t>3</w:t>
      </w:r>
      <w:r w:rsidR="00890D49">
        <w:rPr>
          <w:rFonts w:ascii="Aparajita" w:hAnsi="Aparajita" w:cs="Aparajita"/>
        </w:rPr>
        <w:t>)</w:t>
      </w:r>
      <w:r w:rsidR="00E81D38" w:rsidRPr="00FC1A08">
        <w:rPr>
          <w:rFonts w:ascii="Aparajita" w:hAnsi="Aparajita" w:cs="Aparajita"/>
        </w:rPr>
        <w:t xml:space="preserve"> comprise PCSA Y to its entirety then an agreement is </w:t>
      </w:r>
      <w:r w:rsidR="00E81D38" w:rsidRPr="00184F2A">
        <w:rPr>
          <w:rFonts w:ascii="Aparajita" w:hAnsi="Aparajita" w:cs="Aparajita"/>
        </w:rPr>
        <w:t xml:space="preserve">achieved. However </w:t>
      </w:r>
      <w:r w:rsidR="002E160C" w:rsidRPr="00184F2A">
        <w:rPr>
          <w:rFonts w:ascii="Aparajita" w:hAnsi="Aparajita" w:cs="Aparajita"/>
        </w:rPr>
        <w:t>if PCSA</w:t>
      </w:r>
      <w:r w:rsidR="00E81D38" w:rsidRPr="00184F2A">
        <w:rPr>
          <w:rFonts w:ascii="Aparajita" w:hAnsi="Aparajita" w:cs="Aparajita"/>
        </w:rPr>
        <w:t xml:space="preserve"> Y were to comprise of an additional </w:t>
      </w:r>
      <w:r w:rsidR="002E160C" w:rsidRPr="00184F2A">
        <w:rPr>
          <w:rFonts w:ascii="Aparajita" w:hAnsi="Aparajita" w:cs="Aparajita"/>
        </w:rPr>
        <w:t>g</w:t>
      </w:r>
      <w:r w:rsidR="00E81D38" w:rsidRPr="00184F2A">
        <w:rPr>
          <w:rFonts w:ascii="Aparajita" w:hAnsi="Aparajita" w:cs="Aparajita"/>
        </w:rPr>
        <w:t>POA 2</w:t>
      </w:r>
      <w:r w:rsidR="00F22BE4">
        <w:rPr>
          <w:rFonts w:ascii="Aparajita" w:hAnsi="Aparajita" w:cs="Aparajita"/>
        </w:rPr>
        <w:t>11</w:t>
      </w:r>
      <w:r w:rsidR="00E81D38" w:rsidRPr="00184F2A">
        <w:rPr>
          <w:rFonts w:ascii="Aparajita" w:hAnsi="Aparajita" w:cs="Aparajita"/>
        </w:rPr>
        <w:t xml:space="preserve">4, then an agreement is not achieved on </w:t>
      </w:r>
      <w:r w:rsidR="002E160C" w:rsidRPr="00184F2A">
        <w:rPr>
          <w:rFonts w:ascii="Aparajita" w:hAnsi="Aparajita" w:cs="Aparajita"/>
        </w:rPr>
        <w:t>gPOAs 2</w:t>
      </w:r>
      <w:r w:rsidR="00F22BE4">
        <w:rPr>
          <w:rFonts w:ascii="Aparajita" w:hAnsi="Aparajita" w:cs="Aparajita"/>
        </w:rPr>
        <w:t>11</w:t>
      </w:r>
      <w:r w:rsidR="002E160C" w:rsidRPr="00184F2A">
        <w:rPr>
          <w:rFonts w:ascii="Aparajita" w:hAnsi="Aparajita" w:cs="Aparajita"/>
        </w:rPr>
        <w:t>1, 2</w:t>
      </w:r>
      <w:r w:rsidR="00F22BE4">
        <w:rPr>
          <w:rFonts w:ascii="Aparajita" w:hAnsi="Aparajita" w:cs="Aparajita"/>
        </w:rPr>
        <w:t>11</w:t>
      </w:r>
      <w:r w:rsidR="002E160C" w:rsidRPr="00184F2A">
        <w:rPr>
          <w:rFonts w:ascii="Aparajita" w:hAnsi="Aparajita" w:cs="Aparajita"/>
        </w:rPr>
        <w:t>2, 2003</w:t>
      </w:r>
      <w:r w:rsidR="00E81D38" w:rsidRPr="00184F2A">
        <w:rPr>
          <w:rFonts w:ascii="Aparajita" w:hAnsi="Aparajita" w:cs="Aparajita"/>
        </w:rPr>
        <w:t xml:space="preserve"> </w:t>
      </w:r>
      <w:r w:rsidR="00F22BE4">
        <w:rPr>
          <w:rFonts w:ascii="Aparajita" w:hAnsi="Aparajita" w:cs="Aparajita"/>
        </w:rPr>
        <w:t>and 211</w:t>
      </w:r>
      <w:r w:rsidR="00E81D38" w:rsidRPr="00184F2A">
        <w:rPr>
          <w:rFonts w:ascii="Aparajita" w:hAnsi="Aparajita" w:cs="Aparajita"/>
        </w:rPr>
        <w:t xml:space="preserve">4.  Their </w:t>
      </w:r>
      <w:r w:rsidR="00890D49">
        <w:rPr>
          <w:rFonts w:ascii="Aparajita" w:hAnsi="Aparajita" w:cs="Aparajita"/>
        </w:rPr>
        <w:t>patient populations</w:t>
      </w:r>
      <w:r w:rsidR="00E81D38" w:rsidRPr="00184F2A">
        <w:rPr>
          <w:rFonts w:ascii="Aparajita" w:hAnsi="Aparajita" w:cs="Aparajita"/>
        </w:rPr>
        <w:t xml:space="preserve"> would therefore not contribute </w:t>
      </w:r>
      <w:r w:rsidR="002E160C" w:rsidRPr="00184F2A">
        <w:rPr>
          <w:rFonts w:ascii="Aparajita" w:hAnsi="Aparajita" w:cs="Aparajita"/>
        </w:rPr>
        <w:t xml:space="preserve">patients </w:t>
      </w:r>
      <w:r w:rsidR="00E81D38" w:rsidRPr="00184F2A">
        <w:rPr>
          <w:rFonts w:ascii="Aparajita" w:hAnsi="Aparajita" w:cs="Aparajita"/>
        </w:rPr>
        <w:t>to the numerator of the Jaccard coefficient.</w:t>
      </w:r>
      <w:r w:rsidR="00DA2726">
        <w:rPr>
          <w:rFonts w:ascii="Aparajita" w:hAnsi="Aparajita" w:cs="Aparajita"/>
        </w:rPr>
        <w:t xml:space="preserve"> </w:t>
      </w:r>
      <w:r w:rsidR="000E3D67">
        <w:rPr>
          <w:rFonts w:ascii="Aparajita" w:hAnsi="Aparajita" w:cs="Aparajita"/>
        </w:rPr>
        <w:t>Table 1 compares the Localization In</w:t>
      </w:r>
      <w:r w:rsidR="000A2D9D">
        <w:rPr>
          <w:rFonts w:ascii="Aparajita" w:hAnsi="Aparajita" w:cs="Aparajita"/>
        </w:rPr>
        <w:t xml:space="preserve">dices at PCSAs created using the three datasets, in addition to other information. Table 2 displays the Population Jaccard Coefficient between the One year dataset and the rest. </w:t>
      </w:r>
    </w:p>
    <w:p w:rsidR="006827A6" w:rsidRDefault="006827A6" w:rsidP="00142C3E">
      <w:pPr>
        <w:rPr>
          <w:rFonts w:ascii="Aparajita" w:hAnsi="Aparajita" w:cs="Aparajita"/>
        </w:rPr>
      </w:pPr>
    </w:p>
    <w:p w:rsidR="0075630B" w:rsidRPr="0075630B" w:rsidRDefault="0075630B" w:rsidP="0075630B">
      <w:pPr>
        <w:autoSpaceDE w:val="0"/>
        <w:autoSpaceDN w:val="0"/>
        <w:adjustRightInd w:val="0"/>
        <w:spacing w:after="0" w:line="240" w:lineRule="auto"/>
        <w:rPr>
          <w:rFonts w:ascii="Aparajita" w:hAnsi="Aparajita" w:cs="Aparajita"/>
          <w:lang w:eastAsia="en-AU"/>
        </w:rPr>
      </w:pPr>
    </w:p>
    <w:p w:rsidR="006827A6" w:rsidRPr="0075630B" w:rsidRDefault="0075630B" w:rsidP="0075630B">
      <w:pPr>
        <w:numPr>
          <w:ilvl w:val="0"/>
          <w:numId w:val="1"/>
        </w:numPr>
        <w:rPr>
          <w:rFonts w:ascii="Aparajita" w:hAnsi="Aparajita" w:cs="Aparajita"/>
          <w:b/>
        </w:rPr>
      </w:pPr>
      <w:r w:rsidRPr="0075630B">
        <w:rPr>
          <w:rFonts w:ascii="Aparajita" w:hAnsi="Aparajita" w:cs="Aparajita"/>
          <w:lang w:eastAsia="en-AU"/>
        </w:rPr>
        <w:t xml:space="preserve">Farmer, C. J. Q. and A. S. </w:t>
      </w:r>
      <w:proofErr w:type="spellStart"/>
      <w:r w:rsidRPr="0075630B">
        <w:rPr>
          <w:rFonts w:ascii="Aparajita" w:hAnsi="Aparajita" w:cs="Aparajita"/>
          <w:lang w:eastAsia="en-AU"/>
        </w:rPr>
        <w:t>Fotheringham</w:t>
      </w:r>
      <w:proofErr w:type="spellEnd"/>
      <w:r w:rsidRPr="0075630B">
        <w:rPr>
          <w:rFonts w:ascii="Aparajita" w:hAnsi="Aparajita" w:cs="Aparajita"/>
          <w:lang w:eastAsia="en-AU"/>
        </w:rPr>
        <w:t xml:space="preserve">. 2011. “Network-based functional regions.” </w:t>
      </w:r>
      <w:r w:rsidRPr="0075630B">
        <w:rPr>
          <w:rFonts w:ascii="Aparajita" w:hAnsi="Aparajita" w:cs="Aparajita"/>
          <w:i/>
          <w:iCs/>
          <w:lang w:eastAsia="en-AU"/>
        </w:rPr>
        <w:t xml:space="preserve">Environment and Planning </w:t>
      </w:r>
      <w:proofErr w:type="gramStart"/>
      <w:r w:rsidRPr="0075630B">
        <w:rPr>
          <w:rFonts w:ascii="Aparajita" w:hAnsi="Aparajita" w:cs="Aparajita"/>
          <w:i/>
          <w:iCs/>
          <w:lang w:eastAsia="en-AU"/>
        </w:rPr>
        <w:t>A</w:t>
      </w:r>
      <w:proofErr w:type="gramEnd"/>
      <w:r w:rsidRPr="0075630B">
        <w:rPr>
          <w:rFonts w:ascii="Aparajita" w:hAnsi="Aparajita" w:cs="Aparajita"/>
          <w:lang w:eastAsia="en-AU"/>
        </w:rPr>
        <w:t xml:space="preserve"> 43(11): 2723 – 41 %U </w:t>
      </w:r>
      <w:hyperlink r:id="rId16" w:history="1">
        <w:r w:rsidRPr="0075630B">
          <w:rPr>
            <w:rFonts w:ascii="Aparajita" w:hAnsi="Aparajita" w:cs="Aparajita"/>
            <w:color w:val="0000FF"/>
            <w:u w:val="single"/>
            <w:lang w:eastAsia="en-AU"/>
          </w:rPr>
          <w:t>http://www.envplan.com/abstract.cgi?id=a44136</w:t>
        </w:r>
      </w:hyperlink>
      <w:r w:rsidRPr="0075630B">
        <w:rPr>
          <w:rFonts w:ascii="Aparajita" w:hAnsi="Aparajita" w:cs="Aparajita"/>
          <w:lang w:eastAsia="en-AU"/>
        </w:rPr>
        <w:t>.</w:t>
      </w:r>
    </w:p>
    <w:p w:rsidR="005E166A" w:rsidRDefault="005E166A" w:rsidP="00142C3E">
      <w:pPr>
        <w:rPr>
          <w:rFonts w:ascii="Aparajita" w:hAnsi="Aparajita" w:cs="Aparajita"/>
          <w:b/>
        </w:rPr>
      </w:pPr>
    </w:p>
    <w:p w:rsidR="005E166A" w:rsidRDefault="005E166A" w:rsidP="00142C3E">
      <w:pPr>
        <w:rPr>
          <w:rFonts w:ascii="Aparajita" w:hAnsi="Aparajita" w:cs="Aparajita"/>
          <w:b/>
        </w:rPr>
      </w:pPr>
    </w:p>
    <w:p w:rsidR="006827A6" w:rsidRDefault="006827A6" w:rsidP="00142C3E">
      <w:pPr>
        <w:rPr>
          <w:rFonts w:ascii="Aparajita" w:hAnsi="Aparajita" w:cs="Aparajita"/>
          <w:b/>
        </w:rPr>
      </w:pPr>
      <w:r>
        <w:rPr>
          <w:rFonts w:ascii="Aparajita" w:hAnsi="Aparajita" w:cs="Aparajita"/>
          <w:b/>
        </w:rPr>
        <w:lastRenderedPageBreak/>
        <w:t>Results:</w:t>
      </w:r>
    </w:p>
    <w:p w:rsidR="006827A6" w:rsidRDefault="006827A6" w:rsidP="00142C3E">
      <w:pPr>
        <w:rPr>
          <w:rFonts w:ascii="Aparajita" w:hAnsi="Aparajita" w:cs="Aparajita"/>
        </w:rPr>
      </w:pPr>
      <w:r>
        <w:rPr>
          <w:rFonts w:ascii="Aparajita" w:hAnsi="Aparajita" w:cs="Aparajita"/>
        </w:rPr>
        <w:t>Table 1: Localization Indices of the three datasets</w:t>
      </w:r>
    </w:p>
    <w:tbl>
      <w:tblPr>
        <w:tblpPr w:leftFromText="180" w:rightFromText="180" w:vertAnchor="text" w:horzAnchor="margin" w:tblpY="270"/>
        <w:tblW w:w="9972" w:type="dxa"/>
        <w:tblBorders>
          <w:top w:val="single" w:sz="8" w:space="0" w:color="000000"/>
          <w:bottom w:val="single" w:sz="8" w:space="0" w:color="000000"/>
        </w:tblBorders>
        <w:tblLook w:val="04A0" w:firstRow="1" w:lastRow="0" w:firstColumn="1" w:lastColumn="0" w:noHBand="0" w:noVBand="1"/>
      </w:tblPr>
      <w:tblGrid>
        <w:gridCol w:w="2297"/>
        <w:gridCol w:w="1496"/>
        <w:gridCol w:w="1488"/>
        <w:gridCol w:w="1078"/>
        <w:gridCol w:w="1426"/>
        <w:gridCol w:w="912"/>
        <w:gridCol w:w="1275"/>
      </w:tblGrid>
      <w:tr w:rsidR="002F1810" w:rsidRPr="00177B40" w:rsidTr="002F1810">
        <w:trPr>
          <w:trHeight w:val="1093"/>
        </w:trPr>
        <w:tc>
          <w:tcPr>
            <w:tcW w:w="2297" w:type="dxa"/>
            <w:tcBorders>
              <w:top w:val="single" w:sz="8" w:space="0" w:color="000000"/>
              <w:bottom w:val="single" w:sz="8" w:space="0" w:color="000000"/>
            </w:tcBorders>
            <w:shd w:val="clear" w:color="auto" w:fill="auto"/>
          </w:tcPr>
          <w:p w:rsidR="00DD1DA2" w:rsidRPr="002F1810" w:rsidRDefault="000A2D9D" w:rsidP="002F1810">
            <w:pPr>
              <w:rPr>
                <w:rFonts w:ascii="Aparajita" w:hAnsi="Aparajita" w:cs="Aparajita"/>
                <w:b/>
                <w:bCs/>
                <w:color w:val="000000"/>
              </w:rPr>
            </w:pPr>
            <w:r w:rsidRPr="002F1810">
              <w:rPr>
                <w:rFonts w:ascii="Aparajita" w:hAnsi="Aparajita" w:cs="Aparajita"/>
                <w:b/>
                <w:bCs/>
                <w:color w:val="000000"/>
              </w:rPr>
              <w:t>Datasets</w:t>
            </w:r>
          </w:p>
        </w:tc>
        <w:tc>
          <w:tcPr>
            <w:tcW w:w="1496" w:type="dxa"/>
            <w:tcBorders>
              <w:top w:val="single" w:sz="8" w:space="0" w:color="000000"/>
              <w:bottom w:val="single" w:sz="8" w:space="0" w:color="000000"/>
            </w:tcBorders>
            <w:shd w:val="clear" w:color="auto" w:fill="auto"/>
          </w:tcPr>
          <w:p w:rsidR="00DD1DA2" w:rsidRPr="002F1810" w:rsidRDefault="00DD1DA2" w:rsidP="002F1810">
            <w:pPr>
              <w:rPr>
                <w:rFonts w:ascii="Aparajita" w:hAnsi="Aparajita" w:cs="Aparajita"/>
                <w:b/>
                <w:bCs/>
                <w:color w:val="000000"/>
              </w:rPr>
            </w:pPr>
            <w:r w:rsidRPr="002F1810">
              <w:rPr>
                <w:rFonts w:ascii="Aparajita" w:hAnsi="Aparajita" w:cs="Aparajita"/>
                <w:b/>
                <w:bCs/>
                <w:color w:val="000000"/>
              </w:rPr>
              <w:t>Number of PCSAs obtained</w:t>
            </w:r>
          </w:p>
        </w:tc>
        <w:tc>
          <w:tcPr>
            <w:tcW w:w="4904" w:type="dxa"/>
            <w:gridSpan w:val="4"/>
            <w:tcBorders>
              <w:top w:val="single" w:sz="8" w:space="0" w:color="000000"/>
              <w:bottom w:val="single" w:sz="8" w:space="0" w:color="000000"/>
            </w:tcBorders>
            <w:shd w:val="clear" w:color="auto" w:fill="auto"/>
          </w:tcPr>
          <w:p w:rsidR="00DD1DA2" w:rsidRPr="002F1810" w:rsidRDefault="00DD1DA2" w:rsidP="002F1810">
            <w:pPr>
              <w:rPr>
                <w:rFonts w:ascii="Aparajita" w:hAnsi="Aparajita" w:cs="Aparajita"/>
                <w:b/>
                <w:bCs/>
                <w:color w:val="000000"/>
              </w:rPr>
            </w:pPr>
            <w:r w:rsidRPr="002F1810">
              <w:rPr>
                <w:rFonts w:ascii="Aparajita" w:hAnsi="Aparajita" w:cs="Aparajita"/>
                <w:b/>
                <w:bCs/>
                <w:color w:val="000000"/>
              </w:rPr>
              <w:t>Localization Index</w:t>
            </w:r>
          </w:p>
        </w:tc>
        <w:tc>
          <w:tcPr>
            <w:tcW w:w="1275" w:type="dxa"/>
            <w:tcBorders>
              <w:top w:val="single" w:sz="8" w:space="0" w:color="000000"/>
              <w:bottom w:val="single" w:sz="8" w:space="0" w:color="000000"/>
            </w:tcBorders>
            <w:shd w:val="clear" w:color="auto" w:fill="auto"/>
          </w:tcPr>
          <w:p w:rsidR="00DD1DA2" w:rsidRPr="002F1810" w:rsidRDefault="00DD1DA2" w:rsidP="002F1810">
            <w:pPr>
              <w:rPr>
                <w:rFonts w:ascii="Aparajita" w:hAnsi="Aparajita" w:cs="Aparajita"/>
                <w:b/>
                <w:bCs/>
                <w:color w:val="000000"/>
              </w:rPr>
            </w:pPr>
            <w:r w:rsidRPr="002F1810">
              <w:rPr>
                <w:rFonts w:ascii="Aparajita" w:hAnsi="Aparajita" w:cs="Aparajita"/>
                <w:b/>
                <w:bCs/>
                <w:color w:val="000000"/>
              </w:rPr>
              <w:t>Total Count of patients in final PCSAs</w:t>
            </w:r>
          </w:p>
        </w:tc>
      </w:tr>
      <w:tr w:rsidR="002F1810" w:rsidRPr="00177B40" w:rsidTr="002F1810">
        <w:trPr>
          <w:trHeight w:val="372"/>
        </w:trPr>
        <w:tc>
          <w:tcPr>
            <w:tcW w:w="2297" w:type="dxa"/>
            <w:tcBorders>
              <w:left w:val="nil"/>
              <w:right w:val="nil"/>
            </w:tcBorders>
            <w:shd w:val="clear" w:color="auto" w:fill="auto"/>
          </w:tcPr>
          <w:p w:rsidR="00DD1DA2" w:rsidRPr="002F1810" w:rsidRDefault="00DD1DA2" w:rsidP="002F1810">
            <w:pPr>
              <w:rPr>
                <w:rFonts w:ascii="Aparajita" w:hAnsi="Aparajita" w:cs="Aparajita"/>
                <w:b/>
                <w:bCs/>
                <w:color w:val="000000"/>
              </w:rPr>
            </w:pPr>
          </w:p>
        </w:tc>
        <w:tc>
          <w:tcPr>
            <w:tcW w:w="1496" w:type="dxa"/>
            <w:tcBorders>
              <w:left w:val="nil"/>
              <w:right w:val="nil"/>
            </w:tcBorders>
            <w:shd w:val="clear" w:color="auto" w:fill="auto"/>
          </w:tcPr>
          <w:p w:rsidR="00DD1DA2" w:rsidRPr="002F1810" w:rsidRDefault="00DD1DA2" w:rsidP="002F1810">
            <w:pPr>
              <w:rPr>
                <w:rFonts w:ascii="Aparajita" w:hAnsi="Aparajita" w:cs="Aparajita"/>
                <w:color w:val="000000"/>
              </w:rPr>
            </w:pPr>
          </w:p>
        </w:tc>
        <w:tc>
          <w:tcPr>
            <w:tcW w:w="1488" w:type="dxa"/>
            <w:tcBorders>
              <w:left w:val="nil"/>
              <w:right w:val="nil"/>
            </w:tcBorders>
            <w:shd w:val="clear" w:color="auto" w:fill="auto"/>
          </w:tcPr>
          <w:p w:rsidR="00DD1DA2" w:rsidRPr="002F1810" w:rsidRDefault="00DD1DA2" w:rsidP="002F1810">
            <w:pPr>
              <w:rPr>
                <w:rFonts w:ascii="Aparajita" w:hAnsi="Aparajita" w:cs="Aparajita"/>
                <w:b/>
                <w:color w:val="000000"/>
              </w:rPr>
            </w:pPr>
            <w:r w:rsidRPr="002F1810">
              <w:rPr>
                <w:rFonts w:ascii="Aparajita" w:hAnsi="Aparajita" w:cs="Aparajita"/>
                <w:b/>
                <w:color w:val="000000"/>
              </w:rPr>
              <w:t>Mean</w:t>
            </w:r>
          </w:p>
        </w:tc>
        <w:tc>
          <w:tcPr>
            <w:tcW w:w="1078" w:type="dxa"/>
            <w:tcBorders>
              <w:left w:val="nil"/>
              <w:right w:val="nil"/>
            </w:tcBorders>
            <w:shd w:val="clear" w:color="auto" w:fill="auto"/>
          </w:tcPr>
          <w:p w:rsidR="00DD1DA2" w:rsidRPr="002F1810" w:rsidRDefault="00DD1DA2" w:rsidP="002F1810">
            <w:pPr>
              <w:rPr>
                <w:rFonts w:ascii="Aparajita" w:hAnsi="Aparajita" w:cs="Aparajita"/>
                <w:b/>
                <w:color w:val="000000"/>
              </w:rPr>
            </w:pPr>
            <w:r w:rsidRPr="002F1810">
              <w:rPr>
                <w:rFonts w:ascii="Aparajita" w:hAnsi="Aparajita" w:cs="Aparajita"/>
                <w:b/>
                <w:color w:val="000000"/>
              </w:rPr>
              <w:t>Median</w:t>
            </w:r>
          </w:p>
        </w:tc>
        <w:tc>
          <w:tcPr>
            <w:tcW w:w="1426" w:type="dxa"/>
            <w:tcBorders>
              <w:left w:val="nil"/>
              <w:right w:val="nil"/>
            </w:tcBorders>
            <w:shd w:val="clear" w:color="auto" w:fill="auto"/>
          </w:tcPr>
          <w:p w:rsidR="00DD1DA2" w:rsidRPr="002F1810" w:rsidRDefault="00DD1DA2" w:rsidP="002F1810">
            <w:pPr>
              <w:rPr>
                <w:rFonts w:ascii="Aparajita" w:hAnsi="Aparajita" w:cs="Aparajita"/>
                <w:b/>
                <w:color w:val="000000"/>
              </w:rPr>
            </w:pPr>
            <w:r w:rsidRPr="002F1810">
              <w:rPr>
                <w:rFonts w:ascii="Aparajita" w:hAnsi="Aparajita" w:cs="Aparajita"/>
                <w:b/>
                <w:color w:val="000000"/>
              </w:rPr>
              <w:t>Min</w:t>
            </w:r>
          </w:p>
        </w:tc>
        <w:tc>
          <w:tcPr>
            <w:tcW w:w="912" w:type="dxa"/>
            <w:tcBorders>
              <w:left w:val="nil"/>
              <w:right w:val="nil"/>
            </w:tcBorders>
            <w:shd w:val="clear" w:color="auto" w:fill="auto"/>
          </w:tcPr>
          <w:p w:rsidR="00DD1DA2" w:rsidRPr="002F1810" w:rsidRDefault="00DD1DA2" w:rsidP="002F1810">
            <w:pPr>
              <w:rPr>
                <w:rFonts w:ascii="Aparajita" w:hAnsi="Aparajita" w:cs="Aparajita"/>
                <w:b/>
                <w:color w:val="000000"/>
              </w:rPr>
            </w:pPr>
            <w:r w:rsidRPr="002F1810">
              <w:rPr>
                <w:rFonts w:ascii="Aparajita" w:hAnsi="Aparajita" w:cs="Aparajita"/>
                <w:b/>
                <w:color w:val="000000"/>
              </w:rPr>
              <w:t>Max</w:t>
            </w:r>
          </w:p>
        </w:tc>
        <w:tc>
          <w:tcPr>
            <w:tcW w:w="1275" w:type="dxa"/>
            <w:tcBorders>
              <w:left w:val="nil"/>
              <w:right w:val="nil"/>
            </w:tcBorders>
            <w:shd w:val="clear" w:color="auto" w:fill="auto"/>
          </w:tcPr>
          <w:p w:rsidR="00DD1DA2" w:rsidRPr="002F1810" w:rsidRDefault="00DD1DA2" w:rsidP="002F1810">
            <w:pPr>
              <w:rPr>
                <w:rFonts w:ascii="Aparajita" w:hAnsi="Aparajita" w:cs="Aparajita"/>
                <w:color w:val="000000"/>
              </w:rPr>
            </w:pPr>
          </w:p>
        </w:tc>
      </w:tr>
      <w:tr w:rsidR="002F1810" w:rsidRPr="00177B40" w:rsidTr="002F1810">
        <w:trPr>
          <w:trHeight w:val="351"/>
        </w:trPr>
        <w:tc>
          <w:tcPr>
            <w:tcW w:w="2297" w:type="dxa"/>
            <w:shd w:val="clear" w:color="auto" w:fill="auto"/>
          </w:tcPr>
          <w:p w:rsidR="00DD1DA2" w:rsidRPr="002F1810" w:rsidRDefault="00DD1DA2" w:rsidP="002F1810">
            <w:pPr>
              <w:rPr>
                <w:rFonts w:ascii="Aparajita" w:hAnsi="Aparajita" w:cs="Aparajita"/>
                <w:b/>
                <w:bCs/>
                <w:color w:val="000000"/>
              </w:rPr>
            </w:pPr>
            <w:proofErr w:type="spellStart"/>
            <w:r w:rsidRPr="002F1810">
              <w:rPr>
                <w:rFonts w:ascii="Aparajita" w:hAnsi="Aparajita" w:cs="Aparajita"/>
                <w:b/>
                <w:bCs/>
                <w:color w:val="000000"/>
              </w:rPr>
              <w:t>Oneyear</w:t>
            </w:r>
            <w:proofErr w:type="spellEnd"/>
          </w:p>
        </w:tc>
        <w:tc>
          <w:tcPr>
            <w:tcW w:w="1496" w:type="dxa"/>
            <w:shd w:val="clear" w:color="auto" w:fill="auto"/>
          </w:tcPr>
          <w:p w:rsidR="00DD1DA2" w:rsidRPr="002F1810" w:rsidRDefault="0041158C" w:rsidP="00BD26D6">
            <w:pPr>
              <w:rPr>
                <w:rFonts w:ascii="Aparajita" w:hAnsi="Aparajita" w:cs="Aparajita"/>
                <w:color w:val="000000"/>
              </w:rPr>
            </w:pPr>
            <w:r w:rsidRPr="002F1810">
              <w:rPr>
                <w:rFonts w:ascii="Aparajita" w:hAnsi="Aparajita" w:cs="Aparajita"/>
                <w:color w:val="000000"/>
              </w:rPr>
              <w:t>39</w:t>
            </w:r>
            <w:r w:rsidR="00BD26D6">
              <w:rPr>
                <w:rFonts w:ascii="Aparajita" w:hAnsi="Aparajita" w:cs="Aparajita"/>
                <w:color w:val="000000"/>
              </w:rPr>
              <w:t>3</w:t>
            </w:r>
          </w:p>
        </w:tc>
        <w:tc>
          <w:tcPr>
            <w:tcW w:w="1488" w:type="dxa"/>
            <w:shd w:val="clear" w:color="auto" w:fill="auto"/>
          </w:tcPr>
          <w:p w:rsidR="00DD1DA2" w:rsidRPr="002F1810" w:rsidRDefault="0041158C" w:rsidP="002E51BB">
            <w:pPr>
              <w:rPr>
                <w:rFonts w:ascii="Aparajita" w:hAnsi="Aparajita" w:cs="Aparajita"/>
                <w:color w:val="000000"/>
              </w:rPr>
            </w:pPr>
            <w:r w:rsidRPr="002F1810">
              <w:rPr>
                <w:rFonts w:ascii="Aparajita" w:hAnsi="Aparajita" w:cs="Aparajita"/>
                <w:color w:val="000000"/>
              </w:rPr>
              <w:t>5</w:t>
            </w:r>
            <w:r w:rsidR="002E51BB">
              <w:rPr>
                <w:rFonts w:ascii="Aparajita" w:hAnsi="Aparajita" w:cs="Aparajita"/>
                <w:color w:val="000000"/>
              </w:rPr>
              <w:t>6</w:t>
            </w:r>
          </w:p>
        </w:tc>
        <w:tc>
          <w:tcPr>
            <w:tcW w:w="1078" w:type="dxa"/>
            <w:shd w:val="clear" w:color="auto" w:fill="auto"/>
          </w:tcPr>
          <w:p w:rsidR="00DD1DA2" w:rsidRPr="002F1810" w:rsidRDefault="0041158C" w:rsidP="002F1810">
            <w:pPr>
              <w:rPr>
                <w:rFonts w:ascii="Aparajita" w:hAnsi="Aparajita" w:cs="Aparajita"/>
                <w:color w:val="000000"/>
              </w:rPr>
            </w:pPr>
            <w:r w:rsidRPr="002F1810">
              <w:rPr>
                <w:rFonts w:ascii="Aparajita" w:hAnsi="Aparajita" w:cs="Aparajita"/>
                <w:color w:val="000000"/>
              </w:rPr>
              <w:t>55</w:t>
            </w:r>
          </w:p>
        </w:tc>
        <w:tc>
          <w:tcPr>
            <w:tcW w:w="1426" w:type="dxa"/>
            <w:shd w:val="clear" w:color="auto" w:fill="auto"/>
          </w:tcPr>
          <w:p w:rsidR="00DD1DA2" w:rsidRPr="002F1810" w:rsidRDefault="0041158C" w:rsidP="00353455">
            <w:pPr>
              <w:rPr>
                <w:rFonts w:ascii="Aparajita" w:hAnsi="Aparajita" w:cs="Aparajita"/>
                <w:color w:val="000000"/>
              </w:rPr>
            </w:pPr>
            <w:r w:rsidRPr="002F1810">
              <w:rPr>
                <w:rFonts w:ascii="Aparajita" w:hAnsi="Aparajita" w:cs="Aparajita"/>
                <w:color w:val="000000"/>
              </w:rPr>
              <w:t>1</w:t>
            </w:r>
            <w:r w:rsidR="00353455">
              <w:rPr>
                <w:rFonts w:ascii="Aparajita" w:hAnsi="Aparajita" w:cs="Aparajita"/>
                <w:color w:val="000000"/>
              </w:rPr>
              <w:t>2</w:t>
            </w:r>
          </w:p>
        </w:tc>
        <w:tc>
          <w:tcPr>
            <w:tcW w:w="912" w:type="dxa"/>
            <w:shd w:val="clear" w:color="auto" w:fill="auto"/>
          </w:tcPr>
          <w:p w:rsidR="00DD1DA2" w:rsidRPr="002F1810" w:rsidRDefault="00353455" w:rsidP="002F1810">
            <w:pPr>
              <w:rPr>
                <w:rFonts w:ascii="Aparajita" w:hAnsi="Aparajita" w:cs="Aparajita"/>
                <w:color w:val="000000"/>
              </w:rPr>
            </w:pPr>
            <w:r>
              <w:rPr>
                <w:rFonts w:ascii="Aparajita" w:hAnsi="Aparajita" w:cs="Aparajita"/>
                <w:color w:val="000000"/>
              </w:rPr>
              <w:t>100</w:t>
            </w:r>
          </w:p>
        </w:tc>
        <w:tc>
          <w:tcPr>
            <w:tcW w:w="1275" w:type="dxa"/>
            <w:shd w:val="clear" w:color="auto" w:fill="auto"/>
          </w:tcPr>
          <w:p w:rsidR="00DD1DA2" w:rsidRPr="002F1810" w:rsidRDefault="00353455" w:rsidP="002F1810">
            <w:pPr>
              <w:rPr>
                <w:rFonts w:ascii="Aparajita" w:hAnsi="Aparajita" w:cs="Aparajita"/>
                <w:color w:val="000000"/>
              </w:rPr>
            </w:pPr>
            <w:r>
              <w:rPr>
                <w:rFonts w:ascii="Aparajita" w:hAnsi="Aparajita" w:cs="Aparajita"/>
                <w:color w:val="000000"/>
              </w:rPr>
              <w:t>255,461</w:t>
            </w:r>
          </w:p>
        </w:tc>
      </w:tr>
      <w:tr w:rsidR="002F1810" w:rsidRPr="00177B40" w:rsidTr="002F1810">
        <w:trPr>
          <w:trHeight w:val="372"/>
        </w:trPr>
        <w:tc>
          <w:tcPr>
            <w:tcW w:w="2297" w:type="dxa"/>
            <w:tcBorders>
              <w:left w:val="nil"/>
              <w:right w:val="nil"/>
            </w:tcBorders>
            <w:shd w:val="clear" w:color="auto" w:fill="auto"/>
          </w:tcPr>
          <w:p w:rsidR="00DD1DA2" w:rsidRPr="002F1810" w:rsidRDefault="00DD1DA2" w:rsidP="002F1810">
            <w:pPr>
              <w:rPr>
                <w:rFonts w:ascii="Aparajita" w:hAnsi="Aparajita" w:cs="Aparajita"/>
                <w:b/>
                <w:bCs/>
                <w:color w:val="000000"/>
              </w:rPr>
            </w:pPr>
            <w:proofErr w:type="spellStart"/>
            <w:r w:rsidRPr="002F1810">
              <w:rPr>
                <w:rFonts w:ascii="Aparajita" w:hAnsi="Aparajita" w:cs="Aparajita"/>
                <w:b/>
                <w:bCs/>
                <w:color w:val="000000"/>
              </w:rPr>
              <w:t>Halfyear</w:t>
            </w:r>
            <w:proofErr w:type="spellEnd"/>
          </w:p>
        </w:tc>
        <w:tc>
          <w:tcPr>
            <w:tcW w:w="1496" w:type="dxa"/>
            <w:tcBorders>
              <w:left w:val="nil"/>
              <w:right w:val="nil"/>
            </w:tcBorders>
            <w:shd w:val="clear" w:color="auto" w:fill="auto"/>
          </w:tcPr>
          <w:p w:rsidR="00DD1DA2" w:rsidRPr="002F1810" w:rsidRDefault="00CE17E6" w:rsidP="002F1810">
            <w:pPr>
              <w:rPr>
                <w:rFonts w:ascii="Aparajita" w:hAnsi="Aparajita" w:cs="Aparajita"/>
                <w:color w:val="000000"/>
              </w:rPr>
            </w:pPr>
            <w:r>
              <w:rPr>
                <w:rFonts w:ascii="Aparajita" w:hAnsi="Aparajita" w:cs="Aparajita"/>
                <w:color w:val="000000"/>
              </w:rPr>
              <w:t>397</w:t>
            </w:r>
          </w:p>
        </w:tc>
        <w:tc>
          <w:tcPr>
            <w:tcW w:w="1488" w:type="dxa"/>
            <w:tcBorders>
              <w:left w:val="nil"/>
              <w:right w:val="nil"/>
            </w:tcBorders>
            <w:shd w:val="clear" w:color="auto" w:fill="auto"/>
          </w:tcPr>
          <w:p w:rsidR="00DD1DA2" w:rsidRPr="002F1810" w:rsidRDefault="00B04FBD" w:rsidP="00CE17E6">
            <w:pPr>
              <w:rPr>
                <w:rFonts w:ascii="Aparajita" w:hAnsi="Aparajita" w:cs="Aparajita"/>
                <w:color w:val="000000"/>
              </w:rPr>
            </w:pPr>
            <w:r w:rsidRPr="002F1810">
              <w:rPr>
                <w:rFonts w:ascii="Aparajita" w:hAnsi="Aparajita" w:cs="Aparajita"/>
                <w:color w:val="000000"/>
              </w:rPr>
              <w:t>5</w:t>
            </w:r>
            <w:r w:rsidR="00CE17E6">
              <w:rPr>
                <w:rFonts w:ascii="Aparajita" w:hAnsi="Aparajita" w:cs="Aparajita"/>
                <w:color w:val="000000"/>
              </w:rPr>
              <w:t>7</w:t>
            </w:r>
          </w:p>
        </w:tc>
        <w:tc>
          <w:tcPr>
            <w:tcW w:w="1078" w:type="dxa"/>
            <w:tcBorders>
              <w:left w:val="nil"/>
              <w:right w:val="nil"/>
            </w:tcBorders>
            <w:shd w:val="clear" w:color="auto" w:fill="auto"/>
          </w:tcPr>
          <w:p w:rsidR="00DD1DA2" w:rsidRPr="002F1810" w:rsidRDefault="00CE17E6" w:rsidP="002F1810">
            <w:pPr>
              <w:rPr>
                <w:rFonts w:ascii="Aparajita" w:hAnsi="Aparajita" w:cs="Aparajita"/>
                <w:color w:val="000000"/>
              </w:rPr>
            </w:pPr>
            <w:r>
              <w:rPr>
                <w:rFonts w:ascii="Aparajita" w:hAnsi="Aparajita" w:cs="Aparajita"/>
                <w:color w:val="000000"/>
              </w:rPr>
              <w:t>55</w:t>
            </w:r>
          </w:p>
        </w:tc>
        <w:tc>
          <w:tcPr>
            <w:tcW w:w="1426" w:type="dxa"/>
            <w:tcBorders>
              <w:left w:val="nil"/>
              <w:right w:val="nil"/>
            </w:tcBorders>
            <w:shd w:val="clear" w:color="auto" w:fill="auto"/>
          </w:tcPr>
          <w:p w:rsidR="00DD1DA2" w:rsidRPr="002F1810" w:rsidRDefault="00B04FBD" w:rsidP="00CE17E6">
            <w:pPr>
              <w:rPr>
                <w:rFonts w:ascii="Aparajita" w:hAnsi="Aparajita" w:cs="Aparajita"/>
                <w:color w:val="000000"/>
              </w:rPr>
            </w:pPr>
            <w:r w:rsidRPr="002F1810">
              <w:rPr>
                <w:rFonts w:ascii="Aparajita" w:hAnsi="Aparajita" w:cs="Aparajita"/>
                <w:color w:val="000000"/>
              </w:rPr>
              <w:t>1</w:t>
            </w:r>
            <w:r w:rsidR="00CE17E6">
              <w:rPr>
                <w:rFonts w:ascii="Aparajita" w:hAnsi="Aparajita" w:cs="Aparajita"/>
                <w:color w:val="000000"/>
              </w:rPr>
              <w:t>9</w:t>
            </w:r>
          </w:p>
        </w:tc>
        <w:tc>
          <w:tcPr>
            <w:tcW w:w="912" w:type="dxa"/>
            <w:tcBorders>
              <w:left w:val="nil"/>
              <w:right w:val="nil"/>
            </w:tcBorders>
            <w:shd w:val="clear" w:color="auto" w:fill="auto"/>
          </w:tcPr>
          <w:p w:rsidR="00DD1DA2" w:rsidRPr="002F1810" w:rsidRDefault="00CE17E6" w:rsidP="002F1810">
            <w:pPr>
              <w:rPr>
                <w:rFonts w:ascii="Aparajita" w:hAnsi="Aparajita" w:cs="Aparajita"/>
                <w:color w:val="000000"/>
              </w:rPr>
            </w:pPr>
            <w:r>
              <w:rPr>
                <w:rFonts w:ascii="Aparajita" w:hAnsi="Aparajita" w:cs="Aparajita"/>
                <w:color w:val="000000"/>
              </w:rPr>
              <w:t>100</w:t>
            </w:r>
          </w:p>
        </w:tc>
        <w:tc>
          <w:tcPr>
            <w:tcW w:w="1275" w:type="dxa"/>
            <w:tcBorders>
              <w:left w:val="nil"/>
              <w:right w:val="nil"/>
            </w:tcBorders>
            <w:shd w:val="clear" w:color="auto" w:fill="auto"/>
          </w:tcPr>
          <w:p w:rsidR="00DD1DA2" w:rsidRPr="002F1810" w:rsidRDefault="00B57EE5" w:rsidP="00CE17E6">
            <w:pPr>
              <w:rPr>
                <w:rFonts w:ascii="Aparajita" w:hAnsi="Aparajita" w:cs="Aparajita"/>
                <w:color w:val="000000"/>
              </w:rPr>
            </w:pPr>
            <w:r w:rsidRPr="002F1810">
              <w:rPr>
                <w:rFonts w:ascii="Aparajita" w:hAnsi="Aparajita" w:cs="Aparajita"/>
                <w:color w:val="000000"/>
              </w:rPr>
              <w:t>245,9</w:t>
            </w:r>
            <w:r w:rsidR="00CE17E6">
              <w:rPr>
                <w:rFonts w:ascii="Aparajita" w:hAnsi="Aparajita" w:cs="Aparajita"/>
                <w:color w:val="000000"/>
              </w:rPr>
              <w:t>58</w:t>
            </w:r>
          </w:p>
        </w:tc>
      </w:tr>
      <w:tr w:rsidR="002F1810" w:rsidRPr="00177B40" w:rsidTr="002F1810">
        <w:trPr>
          <w:trHeight w:val="372"/>
        </w:trPr>
        <w:tc>
          <w:tcPr>
            <w:tcW w:w="2297" w:type="dxa"/>
            <w:tcBorders>
              <w:bottom w:val="single" w:sz="8" w:space="0" w:color="000000"/>
            </w:tcBorders>
            <w:shd w:val="clear" w:color="auto" w:fill="auto"/>
          </w:tcPr>
          <w:p w:rsidR="00DD1DA2" w:rsidRPr="002F1810" w:rsidRDefault="007A7632" w:rsidP="007A7632">
            <w:pPr>
              <w:rPr>
                <w:rFonts w:ascii="Aparajita" w:hAnsi="Aparajita" w:cs="Aparajita"/>
                <w:b/>
                <w:bCs/>
                <w:color w:val="000000"/>
              </w:rPr>
            </w:pPr>
            <w:r w:rsidRPr="002F1810">
              <w:rPr>
                <w:rFonts w:ascii="Aparajita" w:hAnsi="Aparajita" w:cs="Aparajita"/>
                <w:b/>
                <w:bCs/>
                <w:color w:val="000000"/>
              </w:rPr>
              <w:t>Full</w:t>
            </w:r>
            <w:r>
              <w:rPr>
                <w:rFonts w:ascii="Aparajita" w:hAnsi="Aparajita" w:cs="Aparajita"/>
                <w:b/>
                <w:bCs/>
                <w:color w:val="000000"/>
              </w:rPr>
              <w:t xml:space="preserve"> time period</w:t>
            </w:r>
          </w:p>
        </w:tc>
        <w:tc>
          <w:tcPr>
            <w:tcW w:w="1496" w:type="dxa"/>
            <w:tcBorders>
              <w:bottom w:val="single" w:sz="8" w:space="0" w:color="000000"/>
            </w:tcBorders>
            <w:shd w:val="clear" w:color="auto" w:fill="auto"/>
          </w:tcPr>
          <w:p w:rsidR="00DD1DA2" w:rsidRPr="002F1810" w:rsidRDefault="0066291C" w:rsidP="004A283A">
            <w:pPr>
              <w:rPr>
                <w:rFonts w:ascii="Aparajita" w:hAnsi="Aparajita" w:cs="Aparajita"/>
                <w:color w:val="000000"/>
              </w:rPr>
            </w:pPr>
            <w:r w:rsidRPr="002F1810">
              <w:rPr>
                <w:rFonts w:ascii="Aparajita" w:hAnsi="Aparajita" w:cs="Aparajita"/>
                <w:color w:val="000000"/>
              </w:rPr>
              <w:t>3</w:t>
            </w:r>
            <w:r w:rsidR="004A283A">
              <w:rPr>
                <w:rFonts w:ascii="Aparajita" w:hAnsi="Aparajita" w:cs="Aparajita"/>
                <w:color w:val="000000"/>
              </w:rPr>
              <w:t>89</w:t>
            </w:r>
          </w:p>
        </w:tc>
        <w:tc>
          <w:tcPr>
            <w:tcW w:w="1488" w:type="dxa"/>
            <w:tcBorders>
              <w:bottom w:val="single" w:sz="8" w:space="0" w:color="000000"/>
            </w:tcBorders>
            <w:shd w:val="clear" w:color="auto" w:fill="auto"/>
          </w:tcPr>
          <w:p w:rsidR="00DD1DA2" w:rsidRPr="002F1810" w:rsidRDefault="00AD5C98" w:rsidP="002F1810">
            <w:pPr>
              <w:rPr>
                <w:rFonts w:ascii="Aparajita" w:hAnsi="Aparajita" w:cs="Aparajita"/>
                <w:color w:val="000000"/>
              </w:rPr>
            </w:pPr>
            <w:r w:rsidRPr="002F1810">
              <w:rPr>
                <w:rFonts w:ascii="Aparajita" w:hAnsi="Aparajita" w:cs="Aparajita"/>
                <w:color w:val="000000"/>
              </w:rPr>
              <w:t>55</w:t>
            </w:r>
          </w:p>
        </w:tc>
        <w:tc>
          <w:tcPr>
            <w:tcW w:w="1078" w:type="dxa"/>
            <w:tcBorders>
              <w:bottom w:val="single" w:sz="8" w:space="0" w:color="000000"/>
            </w:tcBorders>
            <w:shd w:val="clear" w:color="auto" w:fill="auto"/>
          </w:tcPr>
          <w:p w:rsidR="00DD1DA2" w:rsidRPr="002F1810" w:rsidRDefault="00AD5C98" w:rsidP="004A283A">
            <w:pPr>
              <w:rPr>
                <w:rFonts w:ascii="Aparajita" w:hAnsi="Aparajita" w:cs="Aparajita"/>
                <w:color w:val="000000"/>
              </w:rPr>
            </w:pPr>
            <w:r w:rsidRPr="002F1810">
              <w:rPr>
                <w:rFonts w:ascii="Aparajita" w:hAnsi="Aparajita" w:cs="Aparajita"/>
                <w:color w:val="000000"/>
              </w:rPr>
              <w:t>5</w:t>
            </w:r>
            <w:r w:rsidR="004A283A">
              <w:rPr>
                <w:rFonts w:ascii="Aparajita" w:hAnsi="Aparajita" w:cs="Aparajita"/>
                <w:color w:val="000000"/>
              </w:rPr>
              <w:t>4</w:t>
            </w:r>
          </w:p>
        </w:tc>
        <w:tc>
          <w:tcPr>
            <w:tcW w:w="1426" w:type="dxa"/>
            <w:tcBorders>
              <w:bottom w:val="single" w:sz="8" w:space="0" w:color="000000"/>
            </w:tcBorders>
            <w:shd w:val="clear" w:color="auto" w:fill="auto"/>
          </w:tcPr>
          <w:p w:rsidR="00DD1DA2" w:rsidRDefault="004A283A" w:rsidP="002F1810">
            <w:pPr>
              <w:rPr>
                <w:rFonts w:ascii="Aparajita" w:hAnsi="Aparajita" w:cs="Aparajita"/>
                <w:color w:val="000000"/>
              </w:rPr>
            </w:pPr>
            <w:r>
              <w:rPr>
                <w:rFonts w:ascii="Aparajita" w:hAnsi="Aparajita" w:cs="Aparajita"/>
                <w:color w:val="000000"/>
              </w:rPr>
              <w:t>12</w:t>
            </w:r>
          </w:p>
          <w:p w:rsidR="005378B6" w:rsidRPr="002F1810" w:rsidRDefault="005378B6" w:rsidP="002F1810">
            <w:pPr>
              <w:rPr>
                <w:rFonts w:ascii="Aparajita" w:hAnsi="Aparajita" w:cs="Aparajita"/>
                <w:color w:val="000000"/>
              </w:rPr>
            </w:pPr>
          </w:p>
        </w:tc>
        <w:tc>
          <w:tcPr>
            <w:tcW w:w="912" w:type="dxa"/>
            <w:tcBorders>
              <w:bottom w:val="single" w:sz="8" w:space="0" w:color="000000"/>
            </w:tcBorders>
            <w:shd w:val="clear" w:color="auto" w:fill="auto"/>
          </w:tcPr>
          <w:p w:rsidR="00DD1DA2" w:rsidRPr="002F1810" w:rsidRDefault="0066291C" w:rsidP="002F1810">
            <w:pPr>
              <w:rPr>
                <w:rFonts w:ascii="Aparajita" w:hAnsi="Aparajita" w:cs="Aparajita"/>
                <w:color w:val="000000"/>
              </w:rPr>
            </w:pPr>
            <w:r w:rsidRPr="002F1810">
              <w:rPr>
                <w:rFonts w:ascii="Aparajita" w:hAnsi="Aparajita" w:cs="Aparajita"/>
                <w:color w:val="000000"/>
              </w:rPr>
              <w:t>93</w:t>
            </w:r>
          </w:p>
        </w:tc>
        <w:tc>
          <w:tcPr>
            <w:tcW w:w="1275" w:type="dxa"/>
            <w:tcBorders>
              <w:bottom w:val="single" w:sz="8" w:space="0" w:color="000000"/>
            </w:tcBorders>
            <w:shd w:val="clear" w:color="auto" w:fill="auto"/>
          </w:tcPr>
          <w:p w:rsidR="00DD1DA2" w:rsidRPr="002F1810" w:rsidRDefault="004A283A" w:rsidP="002F1810">
            <w:pPr>
              <w:rPr>
                <w:rFonts w:ascii="Aparajita" w:hAnsi="Aparajita" w:cs="Aparajita"/>
                <w:color w:val="000000"/>
              </w:rPr>
            </w:pPr>
            <w:r>
              <w:rPr>
                <w:rFonts w:ascii="Aparajita" w:hAnsi="Aparajita" w:cs="Aparajita"/>
                <w:color w:val="000000"/>
              </w:rPr>
              <w:t>261,334</w:t>
            </w:r>
          </w:p>
        </w:tc>
      </w:tr>
    </w:tbl>
    <w:p w:rsidR="006827A6" w:rsidRDefault="006827A6" w:rsidP="00142C3E">
      <w:pPr>
        <w:rPr>
          <w:rFonts w:ascii="Aparajita" w:hAnsi="Aparajita" w:cs="Aparajita"/>
        </w:rPr>
      </w:pPr>
    </w:p>
    <w:p w:rsidR="006827A6" w:rsidRDefault="006827A6" w:rsidP="00142C3E">
      <w:pPr>
        <w:rPr>
          <w:rFonts w:ascii="Aparajita" w:hAnsi="Aparajita" w:cs="Aparajita"/>
        </w:rPr>
      </w:pPr>
    </w:p>
    <w:p w:rsidR="006827A6" w:rsidRPr="00184F2A" w:rsidRDefault="00184F2A">
      <w:pPr>
        <w:rPr>
          <w:rFonts w:ascii="Aparajita" w:hAnsi="Aparajita" w:cs="Aparajita"/>
        </w:rPr>
      </w:pPr>
      <w:r w:rsidRPr="00184F2A">
        <w:rPr>
          <w:rFonts w:ascii="Aparajita" w:hAnsi="Aparajita" w:cs="Aparajita"/>
        </w:rPr>
        <w:t>Tab</w:t>
      </w:r>
      <w:r>
        <w:rPr>
          <w:rFonts w:ascii="Aparajita" w:hAnsi="Aparajita" w:cs="Aparajita"/>
        </w:rPr>
        <w:t xml:space="preserve">le </w:t>
      </w:r>
      <w:r w:rsidR="00DD1DA2">
        <w:rPr>
          <w:rFonts w:ascii="Aparajita" w:hAnsi="Aparajita" w:cs="Aparajita"/>
        </w:rPr>
        <w:t>2</w:t>
      </w:r>
      <w:r>
        <w:rPr>
          <w:rFonts w:ascii="Aparajita" w:hAnsi="Aparajita" w:cs="Aparajita"/>
        </w:rPr>
        <w:t xml:space="preserve"> </w:t>
      </w:r>
      <w:r w:rsidR="00DD1DA2">
        <w:rPr>
          <w:rFonts w:ascii="Aparajita" w:hAnsi="Aparajita" w:cs="Aparajita"/>
        </w:rPr>
        <w:t xml:space="preserve">Population Jaccard Coefficients </w:t>
      </w:r>
      <w:r w:rsidR="00DA2726">
        <w:rPr>
          <w:rFonts w:ascii="Aparajita" w:hAnsi="Aparajita" w:cs="Aparajita"/>
        </w:rPr>
        <w:t>between the One</w:t>
      </w:r>
      <w:r w:rsidR="00C35752">
        <w:rPr>
          <w:rFonts w:ascii="Aparajita" w:hAnsi="Aparajita" w:cs="Aparajita"/>
        </w:rPr>
        <w:t xml:space="preserve"> </w:t>
      </w:r>
      <w:r w:rsidR="00DA2726">
        <w:rPr>
          <w:rFonts w:ascii="Aparajita" w:hAnsi="Aparajita" w:cs="Aparajita"/>
        </w:rPr>
        <w:t>year and other datasets</w:t>
      </w:r>
    </w:p>
    <w:tbl>
      <w:tblPr>
        <w:tblW w:w="0" w:type="auto"/>
        <w:tblBorders>
          <w:top w:val="single" w:sz="8" w:space="0" w:color="000000"/>
          <w:bottom w:val="single" w:sz="8" w:space="0" w:color="000000"/>
        </w:tblBorders>
        <w:tblLook w:val="04A0" w:firstRow="1" w:lastRow="0" w:firstColumn="1" w:lastColumn="0" w:noHBand="0" w:noVBand="1"/>
      </w:tblPr>
      <w:tblGrid>
        <w:gridCol w:w="2312"/>
        <w:gridCol w:w="2309"/>
      </w:tblGrid>
      <w:tr w:rsidR="002F1810" w:rsidTr="002F1810">
        <w:tc>
          <w:tcPr>
            <w:tcW w:w="2312" w:type="dxa"/>
            <w:tcBorders>
              <w:top w:val="single" w:sz="8" w:space="0" w:color="000000"/>
              <w:bottom w:val="single" w:sz="8" w:space="0" w:color="000000"/>
            </w:tcBorders>
            <w:shd w:val="clear" w:color="auto" w:fill="auto"/>
          </w:tcPr>
          <w:p w:rsidR="00DA2726" w:rsidRPr="002F1810" w:rsidRDefault="00DA2726" w:rsidP="00110A02">
            <w:pPr>
              <w:rPr>
                <w:rFonts w:ascii="Aparajita" w:hAnsi="Aparajita" w:cs="Aparajita"/>
                <w:b/>
                <w:bCs/>
                <w:color w:val="000000"/>
              </w:rPr>
            </w:pPr>
          </w:p>
        </w:tc>
        <w:tc>
          <w:tcPr>
            <w:tcW w:w="2309" w:type="dxa"/>
            <w:tcBorders>
              <w:top w:val="single" w:sz="8" w:space="0" w:color="000000"/>
              <w:bottom w:val="single" w:sz="8" w:space="0" w:color="000000"/>
            </w:tcBorders>
            <w:shd w:val="clear" w:color="auto" w:fill="auto"/>
          </w:tcPr>
          <w:p w:rsidR="00DA2726" w:rsidRPr="002F1810" w:rsidRDefault="00DA2726" w:rsidP="00110A02">
            <w:pPr>
              <w:rPr>
                <w:rFonts w:ascii="Aparajita" w:hAnsi="Aparajita" w:cs="Aparajita"/>
                <w:b/>
                <w:bCs/>
                <w:color w:val="000000"/>
              </w:rPr>
            </w:pPr>
            <w:r w:rsidRPr="002F1810">
              <w:rPr>
                <w:rFonts w:ascii="Aparajita" w:hAnsi="Aparajita" w:cs="Aparajita"/>
                <w:b/>
                <w:bCs/>
                <w:color w:val="000000"/>
              </w:rPr>
              <w:t>One</w:t>
            </w:r>
            <w:r w:rsidR="00195FD2">
              <w:rPr>
                <w:rFonts w:ascii="Aparajita" w:hAnsi="Aparajita" w:cs="Aparajita"/>
                <w:b/>
                <w:bCs/>
                <w:color w:val="000000"/>
              </w:rPr>
              <w:t xml:space="preserve"> </w:t>
            </w:r>
            <w:r w:rsidRPr="002F1810">
              <w:rPr>
                <w:rFonts w:ascii="Aparajita" w:hAnsi="Aparajita" w:cs="Aparajita"/>
                <w:b/>
                <w:bCs/>
                <w:color w:val="000000"/>
              </w:rPr>
              <w:t>year</w:t>
            </w:r>
          </w:p>
        </w:tc>
      </w:tr>
      <w:tr w:rsidR="00DA2726" w:rsidTr="002F1810">
        <w:tc>
          <w:tcPr>
            <w:tcW w:w="2312" w:type="dxa"/>
            <w:tcBorders>
              <w:left w:val="nil"/>
              <w:right w:val="nil"/>
            </w:tcBorders>
            <w:shd w:val="clear" w:color="auto" w:fill="auto"/>
          </w:tcPr>
          <w:p w:rsidR="00DA2726" w:rsidRPr="002F1810" w:rsidRDefault="00DA2726" w:rsidP="00110A02">
            <w:pPr>
              <w:rPr>
                <w:rFonts w:ascii="Aparajita" w:hAnsi="Aparajita" w:cs="Aparajita"/>
                <w:b/>
                <w:bCs/>
                <w:color w:val="000000"/>
              </w:rPr>
            </w:pPr>
            <w:r w:rsidRPr="002F1810">
              <w:rPr>
                <w:rFonts w:ascii="Aparajita" w:hAnsi="Aparajita" w:cs="Aparajita"/>
                <w:b/>
                <w:bCs/>
                <w:color w:val="000000"/>
              </w:rPr>
              <w:t>Half</w:t>
            </w:r>
            <w:r w:rsidR="00C35752">
              <w:rPr>
                <w:rFonts w:ascii="Aparajita" w:hAnsi="Aparajita" w:cs="Aparajita"/>
                <w:b/>
                <w:bCs/>
                <w:color w:val="000000"/>
              </w:rPr>
              <w:t xml:space="preserve"> </w:t>
            </w:r>
            <w:r w:rsidRPr="002F1810">
              <w:rPr>
                <w:rFonts w:ascii="Aparajita" w:hAnsi="Aparajita" w:cs="Aparajita"/>
                <w:b/>
                <w:bCs/>
                <w:color w:val="000000"/>
              </w:rPr>
              <w:t>year</w:t>
            </w:r>
          </w:p>
        </w:tc>
        <w:tc>
          <w:tcPr>
            <w:tcW w:w="2309" w:type="dxa"/>
            <w:tcBorders>
              <w:left w:val="nil"/>
              <w:right w:val="nil"/>
            </w:tcBorders>
            <w:shd w:val="clear" w:color="auto" w:fill="auto"/>
          </w:tcPr>
          <w:p w:rsidR="00DA2726" w:rsidRPr="002F1810" w:rsidRDefault="00DA2726" w:rsidP="00D5113D">
            <w:pPr>
              <w:rPr>
                <w:rFonts w:ascii="Aparajita" w:hAnsi="Aparajita" w:cs="Aparajita"/>
                <w:color w:val="000000"/>
              </w:rPr>
            </w:pPr>
            <w:r w:rsidRPr="002F1810">
              <w:rPr>
                <w:rFonts w:ascii="Aparajita" w:hAnsi="Aparajita" w:cs="Aparajita"/>
                <w:color w:val="000000"/>
              </w:rPr>
              <w:t>9</w:t>
            </w:r>
            <w:r w:rsidR="00D5113D">
              <w:rPr>
                <w:rFonts w:ascii="Aparajita" w:hAnsi="Aparajita" w:cs="Aparajita"/>
                <w:color w:val="000000"/>
              </w:rPr>
              <w:t>6</w:t>
            </w:r>
            <w:r w:rsidRPr="002F1810">
              <w:rPr>
                <w:rFonts w:ascii="Aparajita" w:hAnsi="Aparajita" w:cs="Aparajita"/>
                <w:color w:val="000000"/>
              </w:rPr>
              <w:t>%</w:t>
            </w:r>
          </w:p>
        </w:tc>
      </w:tr>
      <w:tr w:rsidR="002F1810" w:rsidTr="002F1810">
        <w:tc>
          <w:tcPr>
            <w:tcW w:w="2312" w:type="dxa"/>
            <w:tcBorders>
              <w:bottom w:val="single" w:sz="8" w:space="0" w:color="000000"/>
            </w:tcBorders>
            <w:shd w:val="clear" w:color="auto" w:fill="auto"/>
          </w:tcPr>
          <w:p w:rsidR="00DA2726" w:rsidRPr="002F1810" w:rsidRDefault="00DA2726" w:rsidP="007A7632">
            <w:pPr>
              <w:rPr>
                <w:rFonts w:ascii="Aparajita" w:hAnsi="Aparajita" w:cs="Aparajita"/>
                <w:b/>
                <w:bCs/>
                <w:color w:val="000000"/>
              </w:rPr>
            </w:pPr>
            <w:r w:rsidRPr="002F1810">
              <w:rPr>
                <w:rFonts w:ascii="Aparajita" w:hAnsi="Aparajita" w:cs="Aparajita"/>
                <w:b/>
                <w:bCs/>
                <w:color w:val="000000"/>
              </w:rPr>
              <w:t>Full</w:t>
            </w:r>
            <w:r w:rsidR="00C35752">
              <w:rPr>
                <w:rFonts w:ascii="Aparajita" w:hAnsi="Aparajita" w:cs="Aparajita"/>
                <w:b/>
                <w:bCs/>
                <w:color w:val="000000"/>
              </w:rPr>
              <w:t xml:space="preserve"> </w:t>
            </w:r>
            <w:r w:rsidR="007A7632">
              <w:rPr>
                <w:rFonts w:ascii="Aparajita" w:hAnsi="Aparajita" w:cs="Aparajita"/>
                <w:b/>
                <w:bCs/>
                <w:color w:val="000000"/>
              </w:rPr>
              <w:t>time period</w:t>
            </w:r>
          </w:p>
        </w:tc>
        <w:tc>
          <w:tcPr>
            <w:tcW w:w="2309" w:type="dxa"/>
            <w:tcBorders>
              <w:bottom w:val="single" w:sz="8" w:space="0" w:color="000000"/>
            </w:tcBorders>
            <w:shd w:val="clear" w:color="auto" w:fill="auto"/>
          </w:tcPr>
          <w:p w:rsidR="00DA2726" w:rsidRPr="002F1810" w:rsidRDefault="00D5113D" w:rsidP="000A2D9D">
            <w:pPr>
              <w:rPr>
                <w:rFonts w:ascii="Aparajita" w:hAnsi="Aparajita" w:cs="Aparajita"/>
                <w:color w:val="000000"/>
              </w:rPr>
            </w:pPr>
            <w:r>
              <w:rPr>
                <w:rFonts w:ascii="Aparajita" w:hAnsi="Aparajita" w:cs="Aparajita"/>
                <w:color w:val="000000"/>
              </w:rPr>
              <w:t>86</w:t>
            </w:r>
            <w:r w:rsidR="00DA2726" w:rsidRPr="002F1810">
              <w:rPr>
                <w:rFonts w:ascii="Aparajita" w:hAnsi="Aparajita" w:cs="Aparajita"/>
                <w:color w:val="000000"/>
              </w:rPr>
              <w:t>%</w:t>
            </w:r>
          </w:p>
        </w:tc>
      </w:tr>
    </w:tbl>
    <w:p w:rsidR="00F3444B" w:rsidRPr="00184F2A" w:rsidRDefault="00F3444B">
      <w:pPr>
        <w:rPr>
          <w:rFonts w:ascii="Aparajita" w:hAnsi="Aparajita" w:cs="Aparajita"/>
        </w:rPr>
      </w:pPr>
    </w:p>
    <w:p w:rsidR="00513880" w:rsidRPr="00FC1A08" w:rsidRDefault="001866C6" w:rsidP="00513880">
      <w:pPr>
        <w:rPr>
          <w:rFonts w:ascii="Aparajita" w:hAnsi="Aparajita" w:cs="Aparajita"/>
        </w:rPr>
      </w:pPr>
      <w:r>
        <w:rPr>
          <w:rFonts w:ascii="Aparajita" w:hAnsi="Aparajita" w:cs="Aparajita"/>
        </w:rPr>
        <w:t>The</w:t>
      </w:r>
      <w:r w:rsidR="000A2D9D">
        <w:rPr>
          <w:rFonts w:ascii="Aparajita" w:hAnsi="Aparajita" w:cs="Aparajita"/>
        </w:rPr>
        <w:t xml:space="preserve"> PCSAs created from the one year dataset are similar to the ones created from the other datasets</w:t>
      </w:r>
      <w:r w:rsidR="00513880" w:rsidRPr="00FC1A08">
        <w:rPr>
          <w:rFonts w:ascii="Aparajita" w:hAnsi="Aparajita" w:cs="Aparajita"/>
        </w:rPr>
        <w:t xml:space="preserve">. </w:t>
      </w:r>
      <w:r w:rsidR="007739A9">
        <w:rPr>
          <w:rFonts w:ascii="Aparajita" w:hAnsi="Aparajita" w:cs="Aparajita"/>
        </w:rPr>
        <w:t>This dataset is both logically reasonable in terms</w:t>
      </w:r>
      <w:r w:rsidR="00195FD2">
        <w:rPr>
          <w:rFonts w:ascii="Aparajita" w:hAnsi="Aparajita" w:cs="Aparajita"/>
        </w:rPr>
        <w:t xml:space="preserve"> of</w:t>
      </w:r>
      <w:r w:rsidR="007739A9">
        <w:rPr>
          <w:rFonts w:ascii="Aparajita" w:hAnsi="Aparajita" w:cs="Aparajita"/>
        </w:rPr>
        <w:t xml:space="preserve"> having likely valid locations of patient residence postcodes; and being intermediate between the very short and very long time periods.</w:t>
      </w:r>
      <w:r w:rsidR="00890D49">
        <w:rPr>
          <w:rFonts w:ascii="Aparajita" w:hAnsi="Aparajita" w:cs="Aparajita"/>
        </w:rPr>
        <w:t xml:space="preserve"> </w:t>
      </w:r>
      <w:r w:rsidR="00890D49" w:rsidRPr="00FC1A08">
        <w:rPr>
          <w:rFonts w:ascii="Aparajita" w:hAnsi="Aparajita" w:cs="Aparajita"/>
        </w:rPr>
        <w:t xml:space="preserve">We therefore </w:t>
      </w:r>
      <w:r w:rsidR="00305C09">
        <w:rPr>
          <w:rFonts w:ascii="Aparajita" w:hAnsi="Aparajita" w:cs="Aparajita"/>
        </w:rPr>
        <w:t xml:space="preserve">chose </w:t>
      </w:r>
      <w:r w:rsidR="00890D49">
        <w:rPr>
          <w:rFonts w:ascii="Aparajita" w:hAnsi="Aparajita" w:cs="Aparajita"/>
        </w:rPr>
        <w:t xml:space="preserve">this dataset </w:t>
      </w:r>
      <w:r w:rsidR="00195FD2">
        <w:rPr>
          <w:rFonts w:ascii="Aparajita" w:hAnsi="Aparajita" w:cs="Aparajita"/>
        </w:rPr>
        <w:t xml:space="preserve">as </w:t>
      </w:r>
      <w:r w:rsidR="00890D49">
        <w:rPr>
          <w:rFonts w:ascii="Aparajita" w:hAnsi="Aparajita" w:cs="Aparajita"/>
        </w:rPr>
        <w:t>optimal for publishing PCSA geographies.</w:t>
      </w:r>
    </w:p>
    <w:p w:rsidR="00D15E28" w:rsidRDefault="00D15E28" w:rsidP="00D64EB4"/>
    <w:p w:rsidR="00D64EB4" w:rsidRPr="00D87246" w:rsidRDefault="00DB1A49" w:rsidP="00D64EB4">
      <w:pPr>
        <w:rPr>
          <w:rFonts w:ascii="Garamond" w:hAnsi="Garamond" w:cs="Aparajita"/>
          <w:b/>
          <w:sz w:val="24"/>
          <w:szCs w:val="24"/>
        </w:rPr>
      </w:pPr>
      <w:r>
        <w:rPr>
          <w:rFonts w:ascii="Garamond" w:hAnsi="Garamond" w:cs="Aparajita"/>
          <w:b/>
          <w:sz w:val="24"/>
          <w:szCs w:val="24"/>
        </w:rPr>
        <w:br w:type="page"/>
      </w:r>
      <w:r w:rsidR="00D64EB4" w:rsidRPr="00D87246">
        <w:rPr>
          <w:rFonts w:ascii="Garamond" w:hAnsi="Garamond" w:cs="Aparajita"/>
          <w:b/>
          <w:sz w:val="24"/>
          <w:szCs w:val="24"/>
        </w:rPr>
        <w:lastRenderedPageBreak/>
        <w:t xml:space="preserve">Appendix </w:t>
      </w:r>
      <w:r w:rsidR="00BB1A8E">
        <w:rPr>
          <w:rFonts w:ascii="Garamond" w:hAnsi="Garamond" w:cs="Aparajita"/>
          <w:b/>
          <w:sz w:val="24"/>
          <w:szCs w:val="24"/>
        </w:rPr>
        <w:t>3</w:t>
      </w:r>
      <w:r w:rsidR="00D64EB4" w:rsidRPr="00D87246">
        <w:rPr>
          <w:rFonts w:ascii="Garamond" w:hAnsi="Garamond" w:cs="Aparajita"/>
          <w:b/>
          <w:sz w:val="24"/>
          <w:szCs w:val="24"/>
        </w:rPr>
        <w:t xml:space="preserve">: </w:t>
      </w:r>
      <w:r w:rsidR="005F4427">
        <w:rPr>
          <w:rFonts w:ascii="Garamond" w:hAnsi="Garamond" w:cs="Aparajita"/>
          <w:b/>
          <w:sz w:val="24"/>
          <w:szCs w:val="24"/>
        </w:rPr>
        <w:t>Defining ties</w:t>
      </w:r>
      <w:r w:rsidR="00D64EB4" w:rsidRPr="00D87246">
        <w:rPr>
          <w:rFonts w:ascii="Garamond" w:hAnsi="Garamond" w:cs="Aparajita"/>
          <w:b/>
          <w:sz w:val="24"/>
          <w:szCs w:val="24"/>
        </w:rPr>
        <w:t>:</w:t>
      </w:r>
    </w:p>
    <w:p w:rsidR="005F4427" w:rsidRDefault="00D544E3" w:rsidP="00D544E3">
      <w:pPr>
        <w:autoSpaceDE w:val="0"/>
        <w:autoSpaceDN w:val="0"/>
        <w:adjustRightInd w:val="0"/>
        <w:spacing w:line="240" w:lineRule="auto"/>
        <w:rPr>
          <w:rFonts w:ascii="Aparajita" w:hAnsi="Aparajita" w:cs="Aparajita"/>
        </w:rPr>
      </w:pPr>
      <w:r w:rsidRPr="00D544E3">
        <w:rPr>
          <w:rFonts w:ascii="Aparajita" w:hAnsi="Aparajita" w:cs="Aparajita"/>
        </w:rPr>
        <w:t xml:space="preserve">     </w:t>
      </w:r>
    </w:p>
    <w:p w:rsidR="005F4427" w:rsidRDefault="005F4427" w:rsidP="00D544E3">
      <w:pPr>
        <w:autoSpaceDE w:val="0"/>
        <w:autoSpaceDN w:val="0"/>
        <w:adjustRightInd w:val="0"/>
        <w:spacing w:line="240" w:lineRule="auto"/>
        <w:rPr>
          <w:rFonts w:ascii="Aparajita" w:hAnsi="Aparajita" w:cs="Aparajita"/>
        </w:rPr>
      </w:pPr>
      <w:r w:rsidRPr="000724CA">
        <w:rPr>
          <w:rFonts w:ascii="Aparajita" w:hAnsi="Aparajita" w:cs="Aparajita"/>
          <w:u w:val="single"/>
        </w:rPr>
        <w:t xml:space="preserve">Defining </w:t>
      </w:r>
      <w:r w:rsidR="00722E40">
        <w:rPr>
          <w:rFonts w:ascii="Aparajita" w:hAnsi="Aparajita" w:cs="Aparajita"/>
          <w:u w:val="single"/>
        </w:rPr>
        <w:t>and validating t</w:t>
      </w:r>
      <w:r w:rsidRPr="000724CA">
        <w:rPr>
          <w:rFonts w:ascii="Aparajita" w:hAnsi="Aparajita" w:cs="Aparajita"/>
          <w:u w:val="single"/>
        </w:rPr>
        <w:t>ies</w:t>
      </w:r>
      <w:r>
        <w:rPr>
          <w:rFonts w:ascii="Aparajita" w:hAnsi="Aparajita" w:cs="Aparajita"/>
        </w:rPr>
        <w:t>:</w:t>
      </w:r>
    </w:p>
    <w:p w:rsidR="00BA175D" w:rsidRDefault="005E3D39" w:rsidP="00D544E3">
      <w:pPr>
        <w:autoSpaceDE w:val="0"/>
        <w:autoSpaceDN w:val="0"/>
        <w:adjustRightInd w:val="0"/>
        <w:spacing w:line="240" w:lineRule="auto"/>
        <w:rPr>
          <w:rFonts w:ascii="Aparajita" w:hAnsi="Aparajita" w:cs="Aparajita"/>
        </w:rPr>
      </w:pPr>
      <w:r>
        <w:rPr>
          <w:rFonts w:ascii="Aparajita" w:hAnsi="Aparajita" w:cs="Aparajita"/>
        </w:rPr>
        <w:t xml:space="preserve">To evaluate to which gPOA of two given provider or GP gPOAs a patient gPOA should be assigned, confidence intervals need to be constructed around the fraction of votes that the patient gPOA sends to the provider gPOAs. A robust method to do this would be to bootstrap this statistic from the data representing votes from each patient in the patient gPOA to the provider gPOAs. However, this dataset </w:t>
      </w:r>
      <w:r w:rsidR="00BA175D">
        <w:rPr>
          <w:rFonts w:ascii="Aparajita" w:hAnsi="Aparajita" w:cs="Aparajita"/>
        </w:rPr>
        <w:t xml:space="preserve">consists of </w:t>
      </w:r>
      <w:r w:rsidR="00195FD2">
        <w:rPr>
          <w:rFonts w:ascii="Aparajita" w:hAnsi="Aparajita" w:cs="Aparajita"/>
        </w:rPr>
        <w:t>millions of</w:t>
      </w:r>
      <w:r w:rsidR="00BA175D">
        <w:rPr>
          <w:rFonts w:ascii="Aparajita" w:hAnsi="Aparajita" w:cs="Aparajita"/>
        </w:rPr>
        <w:t xml:space="preserve"> records and bootstrapping Confidence Intervals (CIs) would generate an immense computing load.</w:t>
      </w:r>
    </w:p>
    <w:p w:rsidR="00722E40" w:rsidRDefault="00BA175D" w:rsidP="00D544E3">
      <w:pPr>
        <w:autoSpaceDE w:val="0"/>
        <w:autoSpaceDN w:val="0"/>
        <w:adjustRightInd w:val="0"/>
        <w:spacing w:line="240" w:lineRule="auto"/>
        <w:rPr>
          <w:rFonts w:ascii="Aparajita" w:hAnsi="Aparajita" w:cs="Aparajita"/>
        </w:rPr>
      </w:pPr>
      <w:r>
        <w:rPr>
          <w:rFonts w:ascii="Aparajita" w:hAnsi="Aparajita" w:cs="Aparajita"/>
        </w:rPr>
        <w:t>To simplify this problem, we first calculate CIs using a binominal approximation.</w:t>
      </w:r>
      <w:r w:rsidR="00722E40">
        <w:rPr>
          <w:rFonts w:ascii="Aparajita" w:hAnsi="Aparajita" w:cs="Aparajita"/>
        </w:rPr>
        <w:t xml:space="preserve"> </w:t>
      </w:r>
      <w:r w:rsidR="00D544E3" w:rsidRPr="00D544E3">
        <w:rPr>
          <w:rFonts w:ascii="Aparajita" w:hAnsi="Aparajita" w:cs="Aparajita"/>
        </w:rPr>
        <w:t>Let p</w:t>
      </w:r>
      <w:r w:rsidR="00D544E3" w:rsidRPr="00D544E3">
        <w:rPr>
          <w:rFonts w:ascii="Aparajita" w:hAnsi="Aparajita" w:cs="Aparajita"/>
          <w:vertAlign w:val="subscript"/>
        </w:rPr>
        <w:t>ij</w:t>
      </w:r>
      <w:r w:rsidR="00D544E3" w:rsidRPr="00D544E3">
        <w:rPr>
          <w:rFonts w:ascii="Aparajita" w:hAnsi="Aparajita" w:cs="Aparajita"/>
        </w:rPr>
        <w:t xml:space="preserve"> be the fraction of votes</w:t>
      </w:r>
      <w:r w:rsidR="005F4427">
        <w:rPr>
          <w:rFonts w:ascii="Aparajita" w:hAnsi="Aparajita" w:cs="Aparajita"/>
        </w:rPr>
        <w:t>, rounded to the nearest whole number,</w:t>
      </w:r>
      <w:r w:rsidR="00D544E3" w:rsidRPr="00D544E3">
        <w:rPr>
          <w:rFonts w:ascii="Aparajita" w:hAnsi="Aparajita" w:cs="Aparajita"/>
        </w:rPr>
        <w:t xml:space="preserve"> from the i’th </w:t>
      </w:r>
      <w:r w:rsidR="00DB1A49">
        <w:rPr>
          <w:rFonts w:ascii="Aparajita" w:hAnsi="Aparajita" w:cs="Aparajita"/>
        </w:rPr>
        <w:t>patient</w:t>
      </w:r>
      <w:r w:rsidR="00D544E3" w:rsidRPr="00D544E3">
        <w:rPr>
          <w:rFonts w:ascii="Aparajita" w:hAnsi="Aparajita" w:cs="Aparajita"/>
        </w:rPr>
        <w:t xml:space="preserve"> gPOA to j’th provider gPOA and </w:t>
      </w:r>
      <w:proofErr w:type="gramStart"/>
      <w:r w:rsidR="00D544E3" w:rsidRPr="00D544E3">
        <w:rPr>
          <w:rFonts w:ascii="Aparajita" w:hAnsi="Aparajita" w:cs="Aparajita"/>
        </w:rPr>
        <w:t>n</w:t>
      </w:r>
      <w:r w:rsidR="00D544E3" w:rsidRPr="00D544E3">
        <w:rPr>
          <w:rFonts w:ascii="Aparajita" w:hAnsi="Aparajita" w:cs="Aparajita"/>
          <w:vertAlign w:val="subscript"/>
        </w:rPr>
        <w:t>i</w:t>
      </w:r>
      <w:proofErr w:type="gramEnd"/>
      <w:r w:rsidR="00D544E3" w:rsidRPr="00D544E3">
        <w:rPr>
          <w:rFonts w:ascii="Aparajita" w:hAnsi="Aparajita" w:cs="Aparajita"/>
        </w:rPr>
        <w:t xml:space="preserve"> be the number of patients in the </w:t>
      </w:r>
      <w:r w:rsidR="00DB1A49">
        <w:rPr>
          <w:rFonts w:ascii="Aparajita" w:hAnsi="Aparajita" w:cs="Aparajita"/>
        </w:rPr>
        <w:t>patient</w:t>
      </w:r>
      <w:r w:rsidR="00D544E3" w:rsidRPr="00D544E3">
        <w:rPr>
          <w:rFonts w:ascii="Aparajita" w:hAnsi="Aparajita" w:cs="Aparajita"/>
        </w:rPr>
        <w:t xml:space="preserve"> POA</w:t>
      </w:r>
      <w:r w:rsidR="00172469">
        <w:rPr>
          <w:rFonts w:ascii="Aparajita" w:hAnsi="Aparajita" w:cs="Aparajita"/>
        </w:rPr>
        <w:t xml:space="preserve">. </w:t>
      </w:r>
      <w:r w:rsidR="00D544E3" w:rsidRPr="00D544E3">
        <w:rPr>
          <w:rFonts w:ascii="Aparajita" w:hAnsi="Aparajita" w:cs="Aparajita"/>
        </w:rPr>
        <w:t>Then the 95% CI for fractions</w:t>
      </w:r>
      <w:r w:rsidR="00172469">
        <w:rPr>
          <w:rFonts w:ascii="Aparajita" w:hAnsi="Aparajita" w:cs="Aparajita"/>
        </w:rPr>
        <w:t xml:space="preserve"> </w:t>
      </w:r>
      <w:r w:rsidR="00D544E3" w:rsidRPr="00D544E3">
        <w:rPr>
          <w:rFonts w:ascii="Aparajita" w:hAnsi="Aparajita" w:cs="Aparajita"/>
        </w:rPr>
        <w:t xml:space="preserve">of vote </w:t>
      </w:r>
      <w:r w:rsidR="00DB1A49">
        <w:rPr>
          <w:rFonts w:ascii="Aparajita" w:hAnsi="Aparajita" w:cs="Aparajita"/>
        </w:rPr>
        <w:t>is estimated</w:t>
      </w:r>
      <w:r w:rsidR="00D544E3" w:rsidRPr="00D544E3">
        <w:rPr>
          <w:rFonts w:ascii="Aparajita" w:hAnsi="Aparajita" w:cs="Aparajita"/>
        </w:rPr>
        <w:t xml:space="preserve"> as</w:t>
      </w:r>
      <w:r w:rsidR="00722E40">
        <w:rPr>
          <w:rFonts w:ascii="Aparajita" w:hAnsi="Aparajita" w:cs="Aparajita"/>
        </w:rPr>
        <w:t xml:space="preserve"> the binomial CI: </w:t>
      </w:r>
    </w:p>
    <w:p w:rsidR="00D544E3" w:rsidRPr="00D544E3" w:rsidRDefault="00D544E3" w:rsidP="00D544E3">
      <w:pPr>
        <w:autoSpaceDE w:val="0"/>
        <w:autoSpaceDN w:val="0"/>
        <w:adjustRightInd w:val="0"/>
        <w:spacing w:line="240" w:lineRule="auto"/>
        <w:rPr>
          <w:rFonts w:ascii="Aparajita" w:hAnsi="Aparajita" w:cs="Aparajita"/>
        </w:rPr>
      </w:pPr>
      <w:r w:rsidRPr="00D544E3">
        <w:rPr>
          <w:rFonts w:ascii="Aparajita" w:hAnsi="Aparajita" w:cs="Aparajita"/>
        </w:rPr>
        <w:t xml:space="preserve"> CI (p</w:t>
      </w:r>
      <w:r w:rsidRPr="00D544E3">
        <w:rPr>
          <w:rFonts w:ascii="Aparajita" w:hAnsi="Aparajita" w:cs="Aparajita"/>
          <w:vertAlign w:val="subscript"/>
        </w:rPr>
        <w:t>ij</w:t>
      </w:r>
      <w:r w:rsidRPr="00D544E3">
        <w:rPr>
          <w:rFonts w:ascii="Aparajita" w:hAnsi="Aparajita" w:cs="Aparajita"/>
        </w:rPr>
        <w:t>) = p</w:t>
      </w:r>
      <w:r w:rsidRPr="00D544E3">
        <w:rPr>
          <w:rFonts w:ascii="Aparajita" w:hAnsi="Aparajita" w:cs="Aparajita"/>
          <w:vertAlign w:val="subscript"/>
        </w:rPr>
        <w:t>ij</w:t>
      </w:r>
      <w:r w:rsidRPr="00D544E3">
        <w:rPr>
          <w:rFonts w:ascii="Aparajita" w:hAnsi="Aparajita" w:cs="Aparajita"/>
        </w:rPr>
        <w:t xml:space="preserve"> ±1.96* (p</w:t>
      </w:r>
      <w:r w:rsidRPr="00D544E3">
        <w:rPr>
          <w:rFonts w:ascii="Aparajita" w:hAnsi="Aparajita" w:cs="Aparajita"/>
          <w:vertAlign w:val="subscript"/>
        </w:rPr>
        <w:t>i</w:t>
      </w:r>
      <w:r w:rsidRPr="00D544E3">
        <w:rPr>
          <w:rFonts w:ascii="Aparajita" w:hAnsi="Aparajita" w:cs="Aparajita"/>
        </w:rPr>
        <w:t xml:space="preserve"> *(1- p</w:t>
      </w:r>
      <w:r w:rsidRPr="00D544E3">
        <w:rPr>
          <w:rFonts w:ascii="Aparajita" w:hAnsi="Aparajita" w:cs="Aparajita"/>
          <w:vertAlign w:val="subscript"/>
        </w:rPr>
        <w:t>ij</w:t>
      </w:r>
      <w:r w:rsidRPr="00D544E3">
        <w:rPr>
          <w:rFonts w:ascii="Aparajita" w:hAnsi="Aparajita" w:cs="Aparajita"/>
        </w:rPr>
        <w:t xml:space="preserve">)/n) </w:t>
      </w:r>
      <w:r w:rsidRPr="00D544E3">
        <w:rPr>
          <w:rFonts w:ascii="Aparajita" w:hAnsi="Aparajita" w:cs="Aparajita"/>
          <w:vertAlign w:val="superscript"/>
        </w:rPr>
        <w:t>0.5</w:t>
      </w:r>
    </w:p>
    <w:p w:rsidR="00BA175D" w:rsidRDefault="00DB1A49">
      <w:pPr>
        <w:rPr>
          <w:rFonts w:ascii="Aparajita" w:hAnsi="Aparajita" w:cs="Aparajita"/>
        </w:rPr>
      </w:pPr>
      <w:r>
        <w:rPr>
          <w:rFonts w:ascii="Aparajita" w:hAnsi="Aparajita" w:cs="Aparajita"/>
        </w:rPr>
        <w:t>While the use of the binomial formulation would be correct if patients were allocated to provider gPOAs</w:t>
      </w:r>
      <w:r w:rsidR="00677277">
        <w:rPr>
          <w:rFonts w:ascii="Aparajita" w:hAnsi="Aparajita" w:cs="Aparajita"/>
        </w:rPr>
        <w:t>, votes</w:t>
      </w:r>
      <w:r>
        <w:rPr>
          <w:rFonts w:ascii="Aparajita" w:hAnsi="Aparajita" w:cs="Aparajita"/>
        </w:rPr>
        <w:t xml:space="preserve"> which are frequently less than one are allocated </w:t>
      </w:r>
      <w:r w:rsidR="00305C09">
        <w:rPr>
          <w:rFonts w:ascii="Aparajita" w:hAnsi="Aparajita" w:cs="Aparajita"/>
        </w:rPr>
        <w:t xml:space="preserve">so </w:t>
      </w:r>
      <w:r>
        <w:rPr>
          <w:rFonts w:ascii="Aparajita" w:hAnsi="Aparajita" w:cs="Aparajita"/>
        </w:rPr>
        <w:t>the binomial formulation</w:t>
      </w:r>
      <w:r w:rsidR="00677277">
        <w:rPr>
          <w:rFonts w:ascii="Aparajita" w:hAnsi="Aparajita" w:cs="Aparajita"/>
        </w:rPr>
        <w:t xml:space="preserve"> </w:t>
      </w:r>
      <w:r>
        <w:rPr>
          <w:rFonts w:ascii="Aparajita" w:hAnsi="Aparajita" w:cs="Aparajita"/>
        </w:rPr>
        <w:t xml:space="preserve">will overstate the standard errors leading to confidence intervals </w:t>
      </w:r>
      <w:r w:rsidR="00677277">
        <w:rPr>
          <w:rFonts w:ascii="Aparajita" w:hAnsi="Aparajita" w:cs="Aparajita"/>
        </w:rPr>
        <w:t>that are inflated</w:t>
      </w:r>
      <w:r w:rsidR="00BA175D">
        <w:rPr>
          <w:rFonts w:ascii="Aparajita" w:hAnsi="Aparajita" w:cs="Aparajita"/>
        </w:rPr>
        <w:t xml:space="preserve"> by around 50% (estimate found by simulations)</w:t>
      </w:r>
      <w:r w:rsidR="00677277">
        <w:rPr>
          <w:rFonts w:ascii="Aparajita" w:hAnsi="Aparajita" w:cs="Aparajita"/>
        </w:rPr>
        <w:t xml:space="preserve">, and some ties are likely to be invalid. </w:t>
      </w:r>
    </w:p>
    <w:p w:rsidR="00677277" w:rsidRDefault="00195FD2">
      <w:pPr>
        <w:rPr>
          <w:rFonts w:ascii="Aparajita" w:hAnsi="Aparajita" w:cs="Aparajita"/>
        </w:rPr>
      </w:pPr>
      <w:r>
        <w:rPr>
          <w:rFonts w:ascii="Aparajita" w:hAnsi="Aparajita" w:cs="Aparajita"/>
        </w:rPr>
        <w:t xml:space="preserve">Thus </w:t>
      </w:r>
      <w:r w:rsidR="00BA175D">
        <w:rPr>
          <w:rFonts w:ascii="Aparajita" w:hAnsi="Aparajita" w:cs="Aparajita"/>
        </w:rPr>
        <w:t xml:space="preserve">we </w:t>
      </w:r>
      <w:r w:rsidR="00B40E26">
        <w:rPr>
          <w:rFonts w:ascii="Aparajita" w:hAnsi="Aparajita" w:cs="Aparajita"/>
        </w:rPr>
        <w:t>use</w:t>
      </w:r>
      <w:r w:rsidR="00677277">
        <w:rPr>
          <w:rFonts w:ascii="Aparajita" w:hAnsi="Aparajita" w:cs="Aparajita"/>
        </w:rPr>
        <w:t xml:space="preserve"> the above definition of ties </w:t>
      </w:r>
      <w:r w:rsidR="008E268C">
        <w:rPr>
          <w:rFonts w:ascii="Aparajita" w:hAnsi="Aparajita" w:cs="Aparajita"/>
        </w:rPr>
        <w:t>to shortlist</w:t>
      </w:r>
      <w:r>
        <w:rPr>
          <w:rFonts w:ascii="Aparajita" w:hAnsi="Aparajita" w:cs="Aparajita"/>
        </w:rPr>
        <w:t xml:space="preserve"> a set of ties</w:t>
      </w:r>
      <w:r w:rsidR="00677277">
        <w:rPr>
          <w:rFonts w:ascii="Aparajita" w:hAnsi="Aparajita" w:cs="Aparajita"/>
        </w:rPr>
        <w:t>, where at least two provider gPOAs are competing for the assign</w:t>
      </w:r>
      <w:r w:rsidR="00E226E4">
        <w:rPr>
          <w:rFonts w:ascii="Aparajita" w:hAnsi="Aparajita" w:cs="Aparajita"/>
        </w:rPr>
        <w:t xml:space="preserve">ment of the same patient gPOA. </w:t>
      </w:r>
      <w:r w:rsidR="00B40E26">
        <w:rPr>
          <w:rFonts w:ascii="Aparajita" w:hAnsi="Aparajita" w:cs="Aparajita"/>
        </w:rPr>
        <w:t>We calculate the bootstrapped standard</w:t>
      </w:r>
      <w:r w:rsidR="00777EEE">
        <w:rPr>
          <w:rFonts w:ascii="Aparajita" w:hAnsi="Aparajita" w:cs="Aparajita"/>
        </w:rPr>
        <w:t xml:space="preserve"> errors and means for </w:t>
      </w:r>
      <w:r w:rsidR="00E226E4">
        <w:rPr>
          <w:rFonts w:ascii="Aparajita" w:hAnsi="Aparajita" w:cs="Aparajita"/>
        </w:rPr>
        <w:t xml:space="preserve">the fraction of </w:t>
      </w:r>
      <w:r w:rsidR="001A0487">
        <w:rPr>
          <w:rFonts w:ascii="Aparajita" w:hAnsi="Aparajita" w:cs="Aparajita"/>
        </w:rPr>
        <w:t>votes from patients in this</w:t>
      </w:r>
      <w:r w:rsidR="00777EEE">
        <w:rPr>
          <w:rFonts w:ascii="Aparajita" w:hAnsi="Aparajita" w:cs="Aparajita"/>
        </w:rPr>
        <w:t xml:space="preserve"> paired </w:t>
      </w:r>
      <w:r>
        <w:rPr>
          <w:rFonts w:ascii="Aparajita" w:hAnsi="Aparajita" w:cs="Aparajita"/>
        </w:rPr>
        <w:t>short</w:t>
      </w:r>
      <w:r w:rsidR="00777EEE">
        <w:rPr>
          <w:rFonts w:ascii="Aparajita" w:hAnsi="Aparajita" w:cs="Aparajita"/>
        </w:rPr>
        <w:t xml:space="preserve">list of patient gPOAs-provider gPOAs or </w:t>
      </w:r>
      <w:proofErr w:type="spellStart"/>
      <w:r w:rsidR="00777EEE" w:rsidRPr="00D544E3">
        <w:rPr>
          <w:rFonts w:ascii="Aparajita" w:hAnsi="Aparajita" w:cs="Aparajita"/>
        </w:rPr>
        <w:t>p</w:t>
      </w:r>
      <w:r w:rsidR="00777EEE" w:rsidRPr="00D544E3">
        <w:rPr>
          <w:rFonts w:ascii="Aparajita" w:hAnsi="Aparajita" w:cs="Aparajita"/>
          <w:vertAlign w:val="subscript"/>
        </w:rPr>
        <w:t>ij</w:t>
      </w:r>
      <w:r w:rsidR="00777EEE">
        <w:rPr>
          <w:rFonts w:ascii="Aparajita" w:hAnsi="Aparajita" w:cs="Aparajita"/>
        </w:rPr>
        <w:t>’s</w:t>
      </w:r>
      <w:proofErr w:type="spellEnd"/>
      <w:r w:rsidR="00777EEE">
        <w:rPr>
          <w:rFonts w:ascii="Aparajita" w:hAnsi="Aparajita" w:cs="Aparajita"/>
        </w:rPr>
        <w:t xml:space="preserve">. </w:t>
      </w:r>
      <w:r w:rsidR="00E226E4">
        <w:rPr>
          <w:rFonts w:ascii="Aparajita" w:hAnsi="Aparajita" w:cs="Aparajita"/>
        </w:rPr>
        <w:t xml:space="preserve">We </w:t>
      </w:r>
      <w:r w:rsidR="001A0487">
        <w:rPr>
          <w:rFonts w:ascii="Aparajita" w:hAnsi="Aparajita" w:cs="Aparajita"/>
        </w:rPr>
        <w:t xml:space="preserve">then </w:t>
      </w:r>
      <w:r w:rsidR="00E226E4">
        <w:rPr>
          <w:rFonts w:ascii="Aparajita" w:hAnsi="Aparajita" w:cs="Aparajita"/>
        </w:rPr>
        <w:t xml:space="preserve">use these bootstrapped confidence intervals to trim the above list of ties. This two-step strategy of first using </w:t>
      </w:r>
      <w:r w:rsidR="00305C09">
        <w:rPr>
          <w:rFonts w:ascii="Aparajita" w:hAnsi="Aparajita" w:cs="Aparajita"/>
        </w:rPr>
        <w:t xml:space="preserve">overstated </w:t>
      </w:r>
      <w:r w:rsidR="00E226E4">
        <w:rPr>
          <w:rFonts w:ascii="Aparajita" w:hAnsi="Aparajita" w:cs="Aparajita"/>
        </w:rPr>
        <w:t>analytical confidence intervals and then narrowing down the list using bootstraps helps avoid unnecessary intensive computation of bootstrapping confidence intervals for all combinations of patient and provider gPOAs.</w:t>
      </w:r>
    </w:p>
    <w:p w:rsidR="007A7632" w:rsidRDefault="007A7632"/>
    <w:p w:rsidR="00366646" w:rsidRDefault="00366646" w:rsidP="00366646">
      <w:pPr>
        <w:autoSpaceDE w:val="0"/>
        <w:autoSpaceDN w:val="0"/>
        <w:adjustRightInd w:val="0"/>
        <w:spacing w:line="240" w:lineRule="auto"/>
        <w:rPr>
          <w:rFonts w:ascii="Aparajita" w:hAnsi="Aparajita" w:cs="Aparajita"/>
        </w:rPr>
      </w:pPr>
      <w:r>
        <w:rPr>
          <w:rFonts w:ascii="Aparajita" w:hAnsi="Aparajita" w:cs="Aparajita"/>
          <w:u w:val="single"/>
        </w:rPr>
        <w:t>Testing Tie Parameters</w:t>
      </w:r>
      <w:r>
        <w:rPr>
          <w:rFonts w:ascii="Aparajita" w:hAnsi="Aparajita" w:cs="Aparajita"/>
        </w:rPr>
        <w:t>:</w:t>
      </w:r>
    </w:p>
    <w:p w:rsidR="0052045E" w:rsidRDefault="00AC0DA1" w:rsidP="000B1919">
      <w:pPr>
        <w:rPr>
          <w:rFonts w:ascii="Aparajita" w:hAnsi="Aparajita" w:cs="Aparajita"/>
        </w:rPr>
      </w:pPr>
      <w:r>
        <w:rPr>
          <w:rFonts w:ascii="Aparajita" w:hAnsi="Aparajita" w:cs="Aparajita"/>
        </w:rPr>
        <w:t xml:space="preserve">There are </w:t>
      </w:r>
      <w:r w:rsidR="00AD33BB">
        <w:rPr>
          <w:rFonts w:ascii="Aparajita" w:hAnsi="Aparajita" w:cs="Aparajita"/>
        </w:rPr>
        <w:t>two assumed parameters in defining</w:t>
      </w:r>
      <w:r>
        <w:rPr>
          <w:rFonts w:ascii="Aparajita" w:hAnsi="Aparajita" w:cs="Aparajita"/>
        </w:rPr>
        <w:t xml:space="preserve"> </w:t>
      </w:r>
      <w:r w:rsidR="009503F9">
        <w:rPr>
          <w:rFonts w:ascii="Aparajita" w:hAnsi="Aparajita" w:cs="Aparajita"/>
        </w:rPr>
        <w:t xml:space="preserve">the above </w:t>
      </w:r>
      <w:r>
        <w:rPr>
          <w:rFonts w:ascii="Aparajita" w:hAnsi="Aparajita" w:cs="Aparajita"/>
        </w:rPr>
        <w:t xml:space="preserve">ties. </w:t>
      </w:r>
      <w:r w:rsidR="00AD33BB">
        <w:rPr>
          <w:rFonts w:ascii="Aparajita" w:hAnsi="Aparajita" w:cs="Aparajita"/>
        </w:rPr>
        <w:t xml:space="preserve">Changing these parameters may change the resulting assignments. </w:t>
      </w:r>
      <w:r>
        <w:rPr>
          <w:rFonts w:ascii="Aparajita" w:hAnsi="Aparajita" w:cs="Aparajita"/>
        </w:rPr>
        <w:t>First we may change the size of the confidence intervals</w:t>
      </w:r>
      <w:r w:rsidR="00CA32AB">
        <w:rPr>
          <w:rFonts w:ascii="Aparajita" w:hAnsi="Aparajita" w:cs="Aparajita"/>
        </w:rPr>
        <w:t xml:space="preserve"> (CIs)</w:t>
      </w:r>
      <w:r>
        <w:rPr>
          <w:rFonts w:ascii="Aparajita" w:hAnsi="Aparajita" w:cs="Aparajita"/>
        </w:rPr>
        <w:t xml:space="preserve"> around the fraction of votes. Second, </w:t>
      </w:r>
      <w:r w:rsidR="0052045E">
        <w:rPr>
          <w:rFonts w:ascii="Aparajita" w:hAnsi="Aparajita" w:cs="Aparajita"/>
        </w:rPr>
        <w:t xml:space="preserve">we consider the top </w:t>
      </w:r>
      <w:r w:rsidR="002F0311">
        <w:rPr>
          <w:rFonts w:ascii="Aparajita" w:hAnsi="Aparajita" w:cs="Aparajita"/>
        </w:rPr>
        <w:t xml:space="preserve">two </w:t>
      </w:r>
      <w:r w:rsidR="002F0311" w:rsidRPr="007778C7">
        <w:rPr>
          <w:rFonts w:ascii="Aparajita" w:hAnsi="Aparajita" w:cs="Aparajita"/>
        </w:rPr>
        <w:t>voting</w:t>
      </w:r>
      <w:r w:rsidR="0052045E">
        <w:rPr>
          <w:rFonts w:ascii="Aparajita" w:hAnsi="Aparajita" w:cs="Aparajita"/>
        </w:rPr>
        <w:t xml:space="preserve"> gPOAs with tied confidence intervals as an ‘instability set’, that is to say that small changes in the fraction</w:t>
      </w:r>
      <w:r w:rsidR="00195FD2">
        <w:rPr>
          <w:rFonts w:ascii="Aparajita" w:hAnsi="Aparajita" w:cs="Aparajita"/>
        </w:rPr>
        <w:t>/percent</w:t>
      </w:r>
      <w:r w:rsidR="0052045E">
        <w:rPr>
          <w:rFonts w:ascii="Aparajita" w:hAnsi="Aparajita" w:cs="Aparajita"/>
        </w:rPr>
        <w:t xml:space="preserve"> of votes from these gPOAs could change their assignment to a provider </w:t>
      </w:r>
      <w:r w:rsidR="002F0311">
        <w:rPr>
          <w:rFonts w:ascii="Aparajita" w:hAnsi="Aparajita" w:cs="Aparajita"/>
        </w:rPr>
        <w:t>g</w:t>
      </w:r>
      <w:r w:rsidR="0052045E">
        <w:rPr>
          <w:rFonts w:ascii="Aparajita" w:hAnsi="Aparajita" w:cs="Aparajita"/>
        </w:rPr>
        <w:t xml:space="preserve">POA. However, it is possible that this ‘instability set’ can consist of more than two gPOAs with tied vote fractions. </w:t>
      </w:r>
      <w:r w:rsidR="002F0311">
        <w:rPr>
          <w:rFonts w:ascii="Aparajita" w:hAnsi="Aparajita" w:cs="Aparajita"/>
        </w:rPr>
        <w:t xml:space="preserve">A larger set would imply a different gPOA from the top two voting gPOAs being assigned to a given provider gPOA, and thus a different PCSA structure. </w:t>
      </w:r>
      <w:r w:rsidR="00361278">
        <w:rPr>
          <w:rFonts w:ascii="Aparajita" w:hAnsi="Aparajita" w:cs="Aparajita"/>
        </w:rPr>
        <w:t>For evaluating the effect these alternatives have on the PCSAs we ask the question</w:t>
      </w:r>
      <w:r w:rsidR="00004989">
        <w:rPr>
          <w:rFonts w:ascii="Aparajita" w:hAnsi="Aparajita" w:cs="Aparajita"/>
        </w:rPr>
        <w:t>, -</w:t>
      </w:r>
      <w:r w:rsidR="00361278">
        <w:rPr>
          <w:rFonts w:ascii="Aparajita" w:hAnsi="Aparajita" w:cs="Aparajita"/>
        </w:rPr>
        <w:t xml:space="preserve"> “What</w:t>
      </w:r>
      <w:r w:rsidR="00067867">
        <w:rPr>
          <w:rFonts w:ascii="Aparajita" w:hAnsi="Aparajita" w:cs="Aparajita"/>
        </w:rPr>
        <w:t xml:space="preserve"> is the maximum</w:t>
      </w:r>
      <w:r w:rsidR="00361278">
        <w:rPr>
          <w:rFonts w:ascii="Aparajita" w:hAnsi="Aparajita" w:cs="Aparajita"/>
        </w:rPr>
        <w:t xml:space="preserve"> of the</w:t>
      </w:r>
      <w:r w:rsidR="00067867" w:rsidRPr="00067867">
        <w:rPr>
          <w:rFonts w:ascii="Aparajita" w:hAnsi="Aparajita" w:cs="Aparajita"/>
        </w:rPr>
        <w:t xml:space="preserve"> </w:t>
      </w:r>
      <w:r w:rsidR="00067867">
        <w:rPr>
          <w:rFonts w:ascii="Aparajita" w:hAnsi="Aparajita" w:cs="Aparajita"/>
        </w:rPr>
        <w:t>percent</w:t>
      </w:r>
      <w:r w:rsidR="00361278">
        <w:rPr>
          <w:rFonts w:ascii="Aparajita" w:hAnsi="Aparajita" w:cs="Aparajita"/>
        </w:rPr>
        <w:t xml:space="preserve"> patient population </w:t>
      </w:r>
      <w:r w:rsidR="00067867">
        <w:rPr>
          <w:rFonts w:ascii="Aparajita" w:hAnsi="Aparajita" w:cs="Aparajita"/>
        </w:rPr>
        <w:t xml:space="preserve">that </w:t>
      </w:r>
      <w:r w:rsidR="00361278">
        <w:rPr>
          <w:rFonts w:ascii="Aparajita" w:hAnsi="Aparajita" w:cs="Aparajita"/>
        </w:rPr>
        <w:t xml:space="preserve">would be </w:t>
      </w:r>
      <w:r w:rsidR="00D27FDE">
        <w:rPr>
          <w:rFonts w:ascii="Aparajita" w:hAnsi="Aparajita" w:cs="Aparajita"/>
        </w:rPr>
        <w:t xml:space="preserve">differently </w:t>
      </w:r>
      <w:r w:rsidR="00361278">
        <w:rPr>
          <w:rFonts w:ascii="Aparajita" w:hAnsi="Aparajita" w:cs="Aparajita"/>
        </w:rPr>
        <w:t xml:space="preserve">assigned if the definition of ties were </w:t>
      </w:r>
      <w:r w:rsidR="00D27FDE">
        <w:rPr>
          <w:rFonts w:ascii="Aparajita" w:hAnsi="Aparajita" w:cs="Aparajita"/>
        </w:rPr>
        <w:t>changed</w:t>
      </w:r>
      <w:r w:rsidR="00361278">
        <w:rPr>
          <w:rFonts w:ascii="Aparajita" w:hAnsi="Aparajita" w:cs="Aparajita"/>
        </w:rPr>
        <w:t>?</w:t>
      </w:r>
      <w:r w:rsidR="00004989">
        <w:rPr>
          <w:rFonts w:ascii="Aparajita" w:hAnsi="Aparajita" w:cs="Aparajita"/>
        </w:rPr>
        <w:t>”</w:t>
      </w:r>
      <w:r w:rsidR="00361278">
        <w:rPr>
          <w:rFonts w:ascii="Aparajita" w:hAnsi="Aparajita" w:cs="Aparajita"/>
        </w:rPr>
        <w:t xml:space="preserve"> </w:t>
      </w:r>
      <w:r w:rsidR="001360FA">
        <w:rPr>
          <w:rFonts w:ascii="Aparajita" w:hAnsi="Aparajita" w:cs="Aparajita"/>
        </w:rPr>
        <w:t xml:space="preserve">We test the effect of each of these two alternatives </w:t>
      </w:r>
      <w:r w:rsidR="00C92D64">
        <w:rPr>
          <w:rFonts w:ascii="Aparajita" w:hAnsi="Aparajita" w:cs="Aparajita"/>
        </w:rPr>
        <w:t xml:space="preserve">(on the one year dataset) </w:t>
      </w:r>
      <w:r w:rsidR="001360FA">
        <w:rPr>
          <w:rFonts w:ascii="Aparajita" w:hAnsi="Aparajita" w:cs="Aparajita"/>
        </w:rPr>
        <w:t>below</w:t>
      </w:r>
    </w:p>
    <w:p w:rsidR="0052045E" w:rsidRDefault="0052045E" w:rsidP="000B1919">
      <w:pPr>
        <w:rPr>
          <w:rFonts w:ascii="Aparajita" w:hAnsi="Aparajita" w:cs="Aparajita"/>
        </w:rPr>
      </w:pPr>
    </w:p>
    <w:p w:rsidR="001360FA" w:rsidRDefault="001360FA" w:rsidP="000B1919">
      <w:pPr>
        <w:rPr>
          <w:rFonts w:ascii="Aparajita" w:hAnsi="Aparajita" w:cs="Aparajita"/>
        </w:rPr>
      </w:pPr>
      <w:r>
        <w:rPr>
          <w:rFonts w:ascii="Aparajita" w:hAnsi="Aparajita" w:cs="Aparajita"/>
        </w:rPr>
        <w:t xml:space="preserve">1. </w:t>
      </w:r>
      <w:r w:rsidRPr="001360FA">
        <w:rPr>
          <w:rFonts w:ascii="Aparajita" w:hAnsi="Aparajita" w:cs="Aparajita"/>
          <w:u w:val="single"/>
        </w:rPr>
        <w:t>Changing the size of the Confidence Intervals:</w:t>
      </w:r>
      <w:r w:rsidR="00CA32AB">
        <w:rPr>
          <w:rFonts w:ascii="Aparajita" w:hAnsi="Aparajita" w:cs="Aparajita"/>
        </w:rPr>
        <w:t xml:space="preserve"> Changing the </w:t>
      </w:r>
      <w:r w:rsidR="00EC2574">
        <w:rPr>
          <w:rFonts w:ascii="Aparajita" w:hAnsi="Aparajita" w:cs="Aparajita"/>
        </w:rPr>
        <w:t xml:space="preserve">analytical </w:t>
      </w:r>
      <w:r w:rsidR="00CA32AB">
        <w:rPr>
          <w:rFonts w:ascii="Aparajita" w:hAnsi="Aparajita" w:cs="Aparajita"/>
        </w:rPr>
        <w:t xml:space="preserve">CIs from </w:t>
      </w:r>
      <w:r w:rsidR="001453E6">
        <w:rPr>
          <w:rFonts w:ascii="Aparajita" w:hAnsi="Aparajita" w:cs="Aparajita"/>
        </w:rPr>
        <w:t xml:space="preserve">95% to 90% causes </w:t>
      </w:r>
      <w:r w:rsidR="00C07C12">
        <w:rPr>
          <w:rFonts w:ascii="Aparajita" w:hAnsi="Aparajita" w:cs="Aparajita"/>
        </w:rPr>
        <w:t xml:space="preserve">at most </w:t>
      </w:r>
      <w:r w:rsidR="001453E6">
        <w:rPr>
          <w:rFonts w:ascii="Aparajita" w:hAnsi="Aparajita" w:cs="Aparajita"/>
        </w:rPr>
        <w:t>5817 (&lt;</w:t>
      </w:r>
      <w:r w:rsidR="00C35752">
        <w:rPr>
          <w:rFonts w:ascii="Aparajita" w:hAnsi="Aparajita" w:cs="Aparajita"/>
        </w:rPr>
        <w:t>3</w:t>
      </w:r>
      <w:r w:rsidR="001453E6">
        <w:rPr>
          <w:rFonts w:ascii="Aparajita" w:hAnsi="Aparajita" w:cs="Aparajita"/>
        </w:rPr>
        <w:t xml:space="preserve">%) patients to be reassigned. Similarly a change from 95% to 99% causes </w:t>
      </w:r>
      <w:r w:rsidR="00C07C12">
        <w:rPr>
          <w:rFonts w:ascii="Aparajita" w:hAnsi="Aparajita" w:cs="Aparajita"/>
        </w:rPr>
        <w:t xml:space="preserve">at most </w:t>
      </w:r>
      <w:r w:rsidR="001453E6">
        <w:rPr>
          <w:rFonts w:ascii="Aparajita" w:hAnsi="Aparajita" w:cs="Aparajita"/>
        </w:rPr>
        <w:t>9903 (</w:t>
      </w:r>
      <w:r w:rsidR="00CC2EBA">
        <w:rPr>
          <w:rFonts w:ascii="Aparajita" w:hAnsi="Aparajita" w:cs="Aparajita"/>
        </w:rPr>
        <w:t>&lt;</w:t>
      </w:r>
      <w:r w:rsidR="00C35752">
        <w:rPr>
          <w:rFonts w:ascii="Aparajita" w:hAnsi="Aparajita" w:cs="Aparajita"/>
        </w:rPr>
        <w:t xml:space="preserve">4 </w:t>
      </w:r>
      <w:r w:rsidR="001453E6">
        <w:rPr>
          <w:rFonts w:ascii="Aparajita" w:hAnsi="Aparajita" w:cs="Aparajita"/>
        </w:rPr>
        <w:t xml:space="preserve">%) patients to be reassigned. </w:t>
      </w:r>
    </w:p>
    <w:p w:rsidR="001453E6" w:rsidRPr="00FC1A08" w:rsidRDefault="001453E6" w:rsidP="000B1919">
      <w:pPr>
        <w:rPr>
          <w:rFonts w:ascii="Aparajita" w:hAnsi="Aparajita" w:cs="Aparajita"/>
        </w:rPr>
      </w:pPr>
      <w:r>
        <w:rPr>
          <w:rFonts w:ascii="Aparajita" w:hAnsi="Aparajita" w:cs="Aparajita"/>
        </w:rPr>
        <w:lastRenderedPageBreak/>
        <w:t xml:space="preserve">2. </w:t>
      </w:r>
      <w:r w:rsidRPr="001453E6">
        <w:rPr>
          <w:rFonts w:ascii="Aparajita" w:hAnsi="Aparajita" w:cs="Aparajita"/>
          <w:u w:val="single"/>
        </w:rPr>
        <w:t>Increasing the size of a tied set</w:t>
      </w:r>
      <w:r>
        <w:rPr>
          <w:rFonts w:ascii="Aparajita" w:hAnsi="Aparajita" w:cs="Aparajita"/>
        </w:rPr>
        <w:t xml:space="preserve">: </w:t>
      </w:r>
      <w:r w:rsidR="00CC2EBA">
        <w:rPr>
          <w:rFonts w:ascii="Aparajita" w:hAnsi="Aparajita" w:cs="Aparajita"/>
        </w:rPr>
        <w:t>If the tied set were expanded to three gPOAs then at most 6467 patients (&lt;</w:t>
      </w:r>
      <w:r w:rsidR="00C35752">
        <w:rPr>
          <w:rFonts w:ascii="Aparajita" w:hAnsi="Aparajita" w:cs="Aparajita"/>
        </w:rPr>
        <w:t>3</w:t>
      </w:r>
      <w:r w:rsidR="00CC2EBA">
        <w:rPr>
          <w:rFonts w:ascii="Aparajita" w:hAnsi="Aparajita" w:cs="Aparajita"/>
        </w:rPr>
        <w:t xml:space="preserve">%) would be reassigned. If the set were expanded to include the top four gPOAs then at most </w:t>
      </w:r>
      <w:r w:rsidR="00D27FDE">
        <w:rPr>
          <w:rFonts w:ascii="Aparajita" w:hAnsi="Aparajita" w:cs="Aparajita"/>
        </w:rPr>
        <w:t xml:space="preserve">a </w:t>
      </w:r>
      <w:r w:rsidR="00EC2574" w:rsidRPr="00B2529F">
        <w:rPr>
          <w:rFonts w:ascii="Aparajita" w:hAnsi="Aparajita" w:cs="Aparajita"/>
          <w:u w:val="single"/>
        </w:rPr>
        <w:t>further</w:t>
      </w:r>
      <w:r w:rsidR="00D27FDE">
        <w:rPr>
          <w:rFonts w:ascii="Aparajita" w:hAnsi="Aparajita" w:cs="Aparajita"/>
        </w:rPr>
        <w:t xml:space="preserve"> </w:t>
      </w:r>
      <w:r w:rsidR="00CC2EBA">
        <w:rPr>
          <w:rFonts w:ascii="Aparajita" w:hAnsi="Aparajita" w:cs="Aparajita"/>
        </w:rPr>
        <w:t>2324 (&lt;</w:t>
      </w:r>
      <w:r w:rsidR="00C35752">
        <w:rPr>
          <w:rFonts w:ascii="Aparajita" w:hAnsi="Aparajita" w:cs="Aparajita"/>
        </w:rPr>
        <w:t>1</w:t>
      </w:r>
      <w:r w:rsidR="00CC2EBA">
        <w:rPr>
          <w:rFonts w:ascii="Aparajita" w:hAnsi="Aparajita" w:cs="Aparajita"/>
        </w:rPr>
        <w:t xml:space="preserve">%) patients will be reassigned. </w:t>
      </w:r>
    </w:p>
    <w:p w:rsidR="000719E0" w:rsidRDefault="00713718">
      <w:r>
        <w:rPr>
          <w:rFonts w:ascii="Aparajita" w:hAnsi="Aparajita" w:cs="Aparajita"/>
        </w:rPr>
        <w:t xml:space="preserve">Thus, the current </w:t>
      </w:r>
      <w:r w:rsidR="00CB705A">
        <w:rPr>
          <w:rFonts w:ascii="Aparajita" w:hAnsi="Aparajita" w:cs="Aparajita"/>
        </w:rPr>
        <w:t xml:space="preserve">tie definition </w:t>
      </w:r>
      <w:r>
        <w:rPr>
          <w:rFonts w:ascii="Aparajita" w:hAnsi="Aparajita" w:cs="Aparajita"/>
        </w:rPr>
        <w:t xml:space="preserve">parameter </w:t>
      </w:r>
      <w:r w:rsidR="00CB705A">
        <w:rPr>
          <w:rFonts w:ascii="Aparajita" w:hAnsi="Aparajita" w:cs="Aparajita"/>
        </w:rPr>
        <w:t>choices</w:t>
      </w:r>
      <w:r>
        <w:rPr>
          <w:rFonts w:ascii="Aparajita" w:hAnsi="Aparajita" w:cs="Aparajita"/>
        </w:rPr>
        <w:t xml:space="preserve"> were considered </w:t>
      </w:r>
      <w:r w:rsidR="00CB705A">
        <w:rPr>
          <w:rFonts w:ascii="Aparajita" w:hAnsi="Aparajita" w:cs="Aparajita"/>
        </w:rPr>
        <w:t>reasonable.</w:t>
      </w:r>
      <w:r>
        <w:rPr>
          <w:rFonts w:ascii="Aparajita" w:hAnsi="Aparajita" w:cs="Aparajita"/>
        </w:rPr>
        <w:t xml:space="preserve">  </w:t>
      </w:r>
    </w:p>
    <w:sectPr w:rsidR="000719E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E9D" w:rsidRDefault="00CC3E9D" w:rsidP="002F1810">
      <w:pPr>
        <w:spacing w:after="0" w:line="240" w:lineRule="auto"/>
      </w:pPr>
      <w:r>
        <w:separator/>
      </w:r>
    </w:p>
  </w:endnote>
  <w:endnote w:type="continuationSeparator" w:id="0">
    <w:p w:rsidR="00CC3E9D" w:rsidRDefault="00CC3E9D" w:rsidP="002F1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5F0" w:rsidRDefault="00FC05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C71" w:rsidRDefault="00072C71">
    <w:pPr>
      <w:pStyle w:val="Footer"/>
      <w:jc w:val="right"/>
    </w:pPr>
    <w:r>
      <w:fldChar w:fldCharType="begin"/>
    </w:r>
    <w:r>
      <w:instrText xml:space="preserve"> PAGE   \* MERGEFORMAT </w:instrText>
    </w:r>
    <w:r>
      <w:fldChar w:fldCharType="separate"/>
    </w:r>
    <w:r w:rsidR="00FC05F0">
      <w:rPr>
        <w:noProof/>
      </w:rPr>
      <w:t>1</w:t>
    </w:r>
    <w:r>
      <w:rPr>
        <w:noProof/>
      </w:rPr>
      <w:fldChar w:fldCharType="end"/>
    </w:r>
  </w:p>
  <w:p w:rsidR="00072C71" w:rsidRDefault="00072C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5F0" w:rsidRDefault="00FC05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E9D" w:rsidRDefault="00CC3E9D" w:rsidP="002F1810">
      <w:pPr>
        <w:spacing w:after="0" w:line="240" w:lineRule="auto"/>
      </w:pPr>
      <w:r>
        <w:separator/>
      </w:r>
    </w:p>
  </w:footnote>
  <w:footnote w:type="continuationSeparator" w:id="0">
    <w:p w:rsidR="00CC3E9D" w:rsidRDefault="00CC3E9D" w:rsidP="002F18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5F0" w:rsidRDefault="00FC05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810" w:rsidRDefault="002F1810">
    <w:pPr>
      <w:pStyle w:val="Header"/>
    </w:pPr>
  </w:p>
  <w:p w:rsidR="002F1810" w:rsidRDefault="002F18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5F0" w:rsidRDefault="00FC05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376AA"/>
    <w:multiLevelType w:val="hybridMultilevel"/>
    <w:tmpl w:val="5564656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BDB568C"/>
    <w:multiLevelType w:val="hybridMultilevel"/>
    <w:tmpl w:val="2034AFA6"/>
    <w:lvl w:ilvl="0" w:tplc="0C090001">
      <w:start w:val="1"/>
      <w:numFmt w:val="bullet"/>
      <w:lvlText w:val=""/>
      <w:lvlJc w:val="left"/>
      <w:pPr>
        <w:ind w:left="761" w:hanging="360"/>
      </w:pPr>
      <w:rPr>
        <w:rFonts w:ascii="Symbol" w:hAnsi="Symbol" w:hint="default"/>
      </w:rPr>
    </w:lvl>
    <w:lvl w:ilvl="1" w:tplc="0C090003" w:tentative="1">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2">
    <w:nsid w:val="4CCA357D"/>
    <w:multiLevelType w:val="hybridMultilevel"/>
    <w:tmpl w:val="CD6AFC48"/>
    <w:lvl w:ilvl="0" w:tplc="41C6999E">
      <w:start w:val="1"/>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6A451743"/>
    <w:multiLevelType w:val="hybridMultilevel"/>
    <w:tmpl w:val="33442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D38"/>
    <w:rsid w:val="00004989"/>
    <w:rsid w:val="00022962"/>
    <w:rsid w:val="00023B37"/>
    <w:rsid w:val="000254DE"/>
    <w:rsid w:val="00067867"/>
    <w:rsid w:val="000719E0"/>
    <w:rsid w:val="000724CA"/>
    <w:rsid w:val="00072C71"/>
    <w:rsid w:val="000A2D9D"/>
    <w:rsid w:val="000B1919"/>
    <w:rsid w:val="000B699D"/>
    <w:rsid w:val="000C342A"/>
    <w:rsid w:val="000E3D67"/>
    <w:rsid w:val="000F0AE4"/>
    <w:rsid w:val="000F7670"/>
    <w:rsid w:val="00110A02"/>
    <w:rsid w:val="001139F9"/>
    <w:rsid w:val="00127D54"/>
    <w:rsid w:val="001360FA"/>
    <w:rsid w:val="00142C3E"/>
    <w:rsid w:val="001453E6"/>
    <w:rsid w:val="00172469"/>
    <w:rsid w:val="00174E74"/>
    <w:rsid w:val="00184F2A"/>
    <w:rsid w:val="001866C6"/>
    <w:rsid w:val="00195FD2"/>
    <w:rsid w:val="001A0487"/>
    <w:rsid w:val="001C2E11"/>
    <w:rsid w:val="002255A2"/>
    <w:rsid w:val="00294C91"/>
    <w:rsid w:val="002A5040"/>
    <w:rsid w:val="002E160C"/>
    <w:rsid w:val="002E51BB"/>
    <w:rsid w:val="002F0311"/>
    <w:rsid w:val="002F1810"/>
    <w:rsid w:val="00305C09"/>
    <w:rsid w:val="0031769F"/>
    <w:rsid w:val="00353455"/>
    <w:rsid w:val="00361278"/>
    <w:rsid w:val="00366646"/>
    <w:rsid w:val="003734EC"/>
    <w:rsid w:val="0039501F"/>
    <w:rsid w:val="00396A00"/>
    <w:rsid w:val="003F3C01"/>
    <w:rsid w:val="0041158C"/>
    <w:rsid w:val="004615A2"/>
    <w:rsid w:val="00487ADE"/>
    <w:rsid w:val="004A283A"/>
    <w:rsid w:val="004C7544"/>
    <w:rsid w:val="00513880"/>
    <w:rsid w:val="0052045E"/>
    <w:rsid w:val="005378B6"/>
    <w:rsid w:val="005A08D8"/>
    <w:rsid w:val="005B5E93"/>
    <w:rsid w:val="005E166A"/>
    <w:rsid w:val="005E3D39"/>
    <w:rsid w:val="005F4427"/>
    <w:rsid w:val="00616412"/>
    <w:rsid w:val="0066291C"/>
    <w:rsid w:val="00672909"/>
    <w:rsid w:val="00677277"/>
    <w:rsid w:val="006827A6"/>
    <w:rsid w:val="007108A9"/>
    <w:rsid w:val="00713718"/>
    <w:rsid w:val="00720475"/>
    <w:rsid w:val="00722E40"/>
    <w:rsid w:val="00745ED8"/>
    <w:rsid w:val="0075630B"/>
    <w:rsid w:val="00757823"/>
    <w:rsid w:val="007739A9"/>
    <w:rsid w:val="00777EEE"/>
    <w:rsid w:val="007A7632"/>
    <w:rsid w:val="00816842"/>
    <w:rsid w:val="00831EA8"/>
    <w:rsid w:val="0087224E"/>
    <w:rsid w:val="00890D49"/>
    <w:rsid w:val="008A59E1"/>
    <w:rsid w:val="008E268C"/>
    <w:rsid w:val="008F5802"/>
    <w:rsid w:val="009173F1"/>
    <w:rsid w:val="00926910"/>
    <w:rsid w:val="009503F9"/>
    <w:rsid w:val="0095646D"/>
    <w:rsid w:val="00966C5B"/>
    <w:rsid w:val="009F5A80"/>
    <w:rsid w:val="00A1118E"/>
    <w:rsid w:val="00A50670"/>
    <w:rsid w:val="00AB3F06"/>
    <w:rsid w:val="00AC0DA1"/>
    <w:rsid w:val="00AD33BB"/>
    <w:rsid w:val="00AD5C98"/>
    <w:rsid w:val="00B04FBD"/>
    <w:rsid w:val="00B2529F"/>
    <w:rsid w:val="00B40E26"/>
    <w:rsid w:val="00B479B4"/>
    <w:rsid w:val="00B57EE5"/>
    <w:rsid w:val="00B63C02"/>
    <w:rsid w:val="00B65E66"/>
    <w:rsid w:val="00B74D42"/>
    <w:rsid w:val="00BA175D"/>
    <w:rsid w:val="00BB1A8E"/>
    <w:rsid w:val="00BD26D6"/>
    <w:rsid w:val="00BD625E"/>
    <w:rsid w:val="00BD65FC"/>
    <w:rsid w:val="00BF18F1"/>
    <w:rsid w:val="00C07C12"/>
    <w:rsid w:val="00C35752"/>
    <w:rsid w:val="00C92D64"/>
    <w:rsid w:val="00CA32AB"/>
    <w:rsid w:val="00CB705A"/>
    <w:rsid w:val="00CC2EBA"/>
    <w:rsid w:val="00CC3E9D"/>
    <w:rsid w:val="00CE17E6"/>
    <w:rsid w:val="00D15E28"/>
    <w:rsid w:val="00D22052"/>
    <w:rsid w:val="00D27FDE"/>
    <w:rsid w:val="00D3197D"/>
    <w:rsid w:val="00D5113D"/>
    <w:rsid w:val="00D544E3"/>
    <w:rsid w:val="00D64EB4"/>
    <w:rsid w:val="00D87246"/>
    <w:rsid w:val="00DA2726"/>
    <w:rsid w:val="00DB1A49"/>
    <w:rsid w:val="00DC13AA"/>
    <w:rsid w:val="00DD1DA2"/>
    <w:rsid w:val="00DE255B"/>
    <w:rsid w:val="00E226E4"/>
    <w:rsid w:val="00E46272"/>
    <w:rsid w:val="00E4660E"/>
    <w:rsid w:val="00E61AB5"/>
    <w:rsid w:val="00E771D3"/>
    <w:rsid w:val="00E81D38"/>
    <w:rsid w:val="00EC2574"/>
    <w:rsid w:val="00ED7C6B"/>
    <w:rsid w:val="00EF32B2"/>
    <w:rsid w:val="00F051B7"/>
    <w:rsid w:val="00F07E55"/>
    <w:rsid w:val="00F22BE4"/>
    <w:rsid w:val="00F3444B"/>
    <w:rsid w:val="00F346F2"/>
    <w:rsid w:val="00F56C3C"/>
    <w:rsid w:val="00F64271"/>
    <w:rsid w:val="00FC05F0"/>
    <w:rsid w:val="00FD4460"/>
    <w:rsid w:val="00FD7B9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D3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64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16412"/>
    <w:rPr>
      <w:rFonts w:ascii="Tahoma" w:hAnsi="Tahoma" w:cs="Tahoma"/>
      <w:sz w:val="16"/>
      <w:szCs w:val="16"/>
      <w:lang w:eastAsia="en-US"/>
    </w:rPr>
  </w:style>
  <w:style w:type="table" w:styleId="LightShading">
    <w:name w:val="Light Shading"/>
    <w:basedOn w:val="TableNormal"/>
    <w:uiPriority w:val="60"/>
    <w:rsid w:val="000A2D9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unhideWhenUsed/>
    <w:rsid w:val="002F1810"/>
    <w:pPr>
      <w:tabs>
        <w:tab w:val="center" w:pos="4513"/>
        <w:tab w:val="right" w:pos="9026"/>
      </w:tabs>
    </w:pPr>
  </w:style>
  <w:style w:type="character" w:customStyle="1" w:styleId="HeaderChar">
    <w:name w:val="Header Char"/>
    <w:link w:val="Header"/>
    <w:uiPriority w:val="99"/>
    <w:rsid w:val="002F1810"/>
    <w:rPr>
      <w:sz w:val="22"/>
      <w:szCs w:val="22"/>
      <w:lang w:eastAsia="en-US"/>
    </w:rPr>
  </w:style>
  <w:style w:type="paragraph" w:styleId="Footer">
    <w:name w:val="footer"/>
    <w:basedOn w:val="Normal"/>
    <w:link w:val="FooterChar"/>
    <w:uiPriority w:val="99"/>
    <w:unhideWhenUsed/>
    <w:rsid w:val="002F1810"/>
    <w:pPr>
      <w:tabs>
        <w:tab w:val="center" w:pos="4513"/>
        <w:tab w:val="right" w:pos="9026"/>
      </w:tabs>
    </w:pPr>
  </w:style>
  <w:style w:type="character" w:customStyle="1" w:styleId="FooterChar">
    <w:name w:val="Footer Char"/>
    <w:link w:val="Footer"/>
    <w:uiPriority w:val="99"/>
    <w:rsid w:val="002F1810"/>
    <w:rPr>
      <w:sz w:val="22"/>
      <w:szCs w:val="22"/>
      <w:lang w:eastAsia="en-US"/>
    </w:rPr>
  </w:style>
  <w:style w:type="character" w:styleId="CommentReference">
    <w:name w:val="annotation reference"/>
    <w:uiPriority w:val="99"/>
    <w:semiHidden/>
    <w:unhideWhenUsed/>
    <w:rsid w:val="00DB1A49"/>
    <w:rPr>
      <w:sz w:val="16"/>
      <w:szCs w:val="16"/>
    </w:rPr>
  </w:style>
  <w:style w:type="paragraph" w:styleId="CommentText">
    <w:name w:val="annotation text"/>
    <w:basedOn w:val="Normal"/>
    <w:link w:val="CommentTextChar"/>
    <w:uiPriority w:val="99"/>
    <w:unhideWhenUsed/>
    <w:rsid w:val="00DB1A49"/>
    <w:rPr>
      <w:sz w:val="20"/>
      <w:szCs w:val="20"/>
    </w:rPr>
  </w:style>
  <w:style w:type="character" w:customStyle="1" w:styleId="CommentTextChar">
    <w:name w:val="Comment Text Char"/>
    <w:link w:val="CommentText"/>
    <w:uiPriority w:val="99"/>
    <w:rsid w:val="00DB1A49"/>
    <w:rPr>
      <w:lang w:eastAsia="en-US"/>
    </w:rPr>
  </w:style>
  <w:style w:type="paragraph" w:styleId="CommentSubject">
    <w:name w:val="annotation subject"/>
    <w:basedOn w:val="CommentText"/>
    <w:next w:val="CommentText"/>
    <w:link w:val="CommentSubjectChar"/>
    <w:uiPriority w:val="99"/>
    <w:semiHidden/>
    <w:unhideWhenUsed/>
    <w:rsid w:val="00DB1A49"/>
    <w:rPr>
      <w:b/>
      <w:bCs/>
    </w:rPr>
  </w:style>
  <w:style w:type="character" w:customStyle="1" w:styleId="CommentSubjectChar">
    <w:name w:val="Comment Subject Char"/>
    <w:link w:val="CommentSubject"/>
    <w:uiPriority w:val="99"/>
    <w:semiHidden/>
    <w:rsid w:val="00DB1A49"/>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D3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64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16412"/>
    <w:rPr>
      <w:rFonts w:ascii="Tahoma" w:hAnsi="Tahoma" w:cs="Tahoma"/>
      <w:sz w:val="16"/>
      <w:szCs w:val="16"/>
      <w:lang w:eastAsia="en-US"/>
    </w:rPr>
  </w:style>
  <w:style w:type="table" w:styleId="LightShading">
    <w:name w:val="Light Shading"/>
    <w:basedOn w:val="TableNormal"/>
    <w:uiPriority w:val="60"/>
    <w:rsid w:val="000A2D9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unhideWhenUsed/>
    <w:rsid w:val="002F1810"/>
    <w:pPr>
      <w:tabs>
        <w:tab w:val="center" w:pos="4513"/>
        <w:tab w:val="right" w:pos="9026"/>
      </w:tabs>
    </w:pPr>
  </w:style>
  <w:style w:type="character" w:customStyle="1" w:styleId="HeaderChar">
    <w:name w:val="Header Char"/>
    <w:link w:val="Header"/>
    <w:uiPriority w:val="99"/>
    <w:rsid w:val="002F1810"/>
    <w:rPr>
      <w:sz w:val="22"/>
      <w:szCs w:val="22"/>
      <w:lang w:eastAsia="en-US"/>
    </w:rPr>
  </w:style>
  <w:style w:type="paragraph" w:styleId="Footer">
    <w:name w:val="footer"/>
    <w:basedOn w:val="Normal"/>
    <w:link w:val="FooterChar"/>
    <w:uiPriority w:val="99"/>
    <w:unhideWhenUsed/>
    <w:rsid w:val="002F1810"/>
    <w:pPr>
      <w:tabs>
        <w:tab w:val="center" w:pos="4513"/>
        <w:tab w:val="right" w:pos="9026"/>
      </w:tabs>
    </w:pPr>
  </w:style>
  <w:style w:type="character" w:customStyle="1" w:styleId="FooterChar">
    <w:name w:val="Footer Char"/>
    <w:link w:val="Footer"/>
    <w:uiPriority w:val="99"/>
    <w:rsid w:val="002F1810"/>
    <w:rPr>
      <w:sz w:val="22"/>
      <w:szCs w:val="22"/>
      <w:lang w:eastAsia="en-US"/>
    </w:rPr>
  </w:style>
  <w:style w:type="character" w:styleId="CommentReference">
    <w:name w:val="annotation reference"/>
    <w:uiPriority w:val="99"/>
    <w:semiHidden/>
    <w:unhideWhenUsed/>
    <w:rsid w:val="00DB1A49"/>
    <w:rPr>
      <w:sz w:val="16"/>
      <w:szCs w:val="16"/>
    </w:rPr>
  </w:style>
  <w:style w:type="paragraph" w:styleId="CommentText">
    <w:name w:val="annotation text"/>
    <w:basedOn w:val="Normal"/>
    <w:link w:val="CommentTextChar"/>
    <w:uiPriority w:val="99"/>
    <w:unhideWhenUsed/>
    <w:rsid w:val="00DB1A49"/>
    <w:rPr>
      <w:sz w:val="20"/>
      <w:szCs w:val="20"/>
    </w:rPr>
  </w:style>
  <w:style w:type="character" w:customStyle="1" w:styleId="CommentTextChar">
    <w:name w:val="Comment Text Char"/>
    <w:link w:val="CommentText"/>
    <w:uiPriority w:val="99"/>
    <w:rsid w:val="00DB1A49"/>
    <w:rPr>
      <w:lang w:eastAsia="en-US"/>
    </w:rPr>
  </w:style>
  <w:style w:type="paragraph" w:styleId="CommentSubject">
    <w:name w:val="annotation subject"/>
    <w:basedOn w:val="CommentText"/>
    <w:next w:val="CommentText"/>
    <w:link w:val="CommentSubjectChar"/>
    <w:uiPriority w:val="99"/>
    <w:semiHidden/>
    <w:unhideWhenUsed/>
    <w:rsid w:val="00DB1A49"/>
    <w:rPr>
      <w:b/>
      <w:bCs/>
    </w:rPr>
  </w:style>
  <w:style w:type="character" w:customStyle="1" w:styleId="CommentSubjectChar">
    <w:name w:val="Comment Subject Char"/>
    <w:link w:val="CommentSubject"/>
    <w:uiPriority w:val="99"/>
    <w:semiHidden/>
    <w:rsid w:val="00DB1A4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83237">
      <w:bodyDiv w:val="1"/>
      <w:marLeft w:val="0"/>
      <w:marRight w:val="0"/>
      <w:marTop w:val="0"/>
      <w:marBottom w:val="0"/>
      <w:divBdr>
        <w:top w:val="none" w:sz="0" w:space="0" w:color="auto"/>
        <w:left w:val="none" w:sz="0" w:space="0" w:color="auto"/>
        <w:bottom w:val="none" w:sz="0" w:space="0" w:color="auto"/>
        <w:right w:val="none" w:sz="0" w:space="0" w:color="auto"/>
      </w:divBdr>
    </w:div>
    <w:div w:id="95086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nvplan.com/abstract.cgi?id=a44136"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file:///C:\Users\u5253176\AppData\Local\Temp\l"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1297</Words>
  <Characters>7399</Characters>
  <Application>Microsoft Office Word</Application>
  <DocSecurity>0</DocSecurity>
  <Lines>61</Lines>
  <Paragraphs>17</Paragraphs>
  <ScaleCrop>false</ScaleCrop>
  <Company/>
  <LinksUpToDate>false</LinksUpToDate>
  <CharactersWithSpaces>8679</CharactersWithSpaces>
  <SharedDoc>false</SharedDoc>
  <HLinks>
    <vt:vector size="12" baseType="variant">
      <vt:variant>
        <vt:i4>4390937</vt:i4>
      </vt:variant>
      <vt:variant>
        <vt:i4>3</vt:i4>
      </vt:variant>
      <vt:variant>
        <vt:i4>0</vt:i4>
      </vt:variant>
      <vt:variant>
        <vt:i4>5</vt:i4>
      </vt:variant>
      <vt:variant>
        <vt:lpwstr>http://www.envplan.com/abstract.cgi?id=a44136</vt:lpwstr>
      </vt:variant>
      <vt:variant>
        <vt:lpwstr/>
      </vt:variant>
      <vt:variant>
        <vt:i4>5308498</vt:i4>
      </vt:variant>
      <vt:variant>
        <vt:i4>0</vt:i4>
      </vt:variant>
      <vt:variant>
        <vt:i4>0</vt:i4>
      </vt:variant>
      <vt:variant>
        <vt:i4>5</vt:i4>
      </vt:variant>
      <vt:variant>
        <vt:lpwstr>C:\Users\u5253176\AppData\Local\Temp\l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2014-09-22T23:15:00Z</dcterms:created>
  <dcterms:modified xsi:type="dcterms:W3CDTF">2014-09-22T23:15:00Z</dcterms:modified>
</cp:coreProperties>
</file>