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312" w:rsidRPr="00BF1AFA" w:rsidRDefault="00B6580F" w:rsidP="005D1312">
      <w:pPr>
        <w:spacing w:line="360" w:lineRule="auto"/>
        <w:jc w:val="both"/>
        <w:rPr>
          <w:b/>
          <w:sz w:val="20"/>
          <w:szCs w:val="20"/>
        </w:rPr>
      </w:pPr>
      <w:r>
        <w:rPr>
          <w:b/>
          <w:sz w:val="20"/>
          <w:szCs w:val="20"/>
        </w:rPr>
        <w:t>Additional file</w:t>
      </w:r>
      <w:r w:rsidR="005D1312" w:rsidRPr="00BF1AFA">
        <w:rPr>
          <w:b/>
          <w:sz w:val="20"/>
          <w:szCs w:val="20"/>
        </w:rPr>
        <w:t xml:space="preserve"> 1</w:t>
      </w:r>
      <w:r w:rsidR="00D52D88">
        <w:rPr>
          <w:b/>
          <w:sz w:val="20"/>
          <w:szCs w:val="20"/>
        </w:rPr>
        <w:t xml:space="preserve">: Table S1 </w:t>
      </w:r>
      <w:r w:rsidR="005D1312" w:rsidRPr="00BF1AFA">
        <w:rPr>
          <w:b/>
          <w:sz w:val="20"/>
          <w:szCs w:val="20"/>
        </w:rPr>
        <w:t>Variables and Definitions</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5"/>
        <w:gridCol w:w="5940"/>
      </w:tblGrid>
      <w:tr w:rsidR="005D1312" w:rsidRPr="00BF1AFA" w:rsidTr="005E4E66">
        <w:trPr>
          <w:trHeight w:val="300"/>
        </w:trPr>
        <w:tc>
          <w:tcPr>
            <w:tcW w:w="3255" w:type="dxa"/>
            <w:noWrap/>
            <w:vAlign w:val="bottom"/>
          </w:tcPr>
          <w:p w:rsidR="005D1312" w:rsidRPr="00BF1AFA" w:rsidRDefault="005D1312" w:rsidP="005E4E66">
            <w:pPr>
              <w:spacing w:line="240" w:lineRule="auto"/>
              <w:jc w:val="both"/>
              <w:rPr>
                <w:b/>
                <w:color w:val="000000"/>
                <w:sz w:val="20"/>
                <w:szCs w:val="20"/>
              </w:rPr>
            </w:pPr>
            <w:r w:rsidRPr="00BF1AFA">
              <w:rPr>
                <w:b/>
                <w:color w:val="000000"/>
                <w:sz w:val="20"/>
                <w:szCs w:val="20"/>
              </w:rPr>
              <w:t>Variable Name</w:t>
            </w:r>
          </w:p>
        </w:tc>
        <w:tc>
          <w:tcPr>
            <w:tcW w:w="5940" w:type="dxa"/>
          </w:tcPr>
          <w:p w:rsidR="005D1312" w:rsidRPr="00BF1AFA" w:rsidRDefault="005D1312" w:rsidP="005E4E66">
            <w:pPr>
              <w:spacing w:line="240" w:lineRule="auto"/>
              <w:jc w:val="both"/>
              <w:rPr>
                <w:b/>
                <w:color w:val="000000"/>
                <w:sz w:val="20"/>
                <w:szCs w:val="20"/>
              </w:rPr>
            </w:pPr>
            <w:r w:rsidRPr="00BF1AFA">
              <w:rPr>
                <w:b/>
                <w:color w:val="000000"/>
                <w:sz w:val="20"/>
                <w:szCs w:val="20"/>
              </w:rPr>
              <w:t xml:space="preserve">Definition </w:t>
            </w:r>
          </w:p>
        </w:tc>
      </w:tr>
      <w:tr w:rsidR="005D1312" w:rsidRPr="00BF1AFA" w:rsidTr="005E4E66">
        <w:trPr>
          <w:trHeight w:val="300"/>
        </w:trPr>
        <w:tc>
          <w:tcPr>
            <w:tcW w:w="3255" w:type="dxa"/>
            <w:noWrap/>
            <w:vAlign w:val="bottom"/>
          </w:tcPr>
          <w:p w:rsidR="005D1312" w:rsidRPr="00BF1AFA" w:rsidRDefault="005D1312" w:rsidP="005E4E66">
            <w:pPr>
              <w:spacing w:line="240" w:lineRule="auto"/>
              <w:jc w:val="both"/>
              <w:rPr>
                <w:color w:val="000000"/>
                <w:sz w:val="20"/>
                <w:szCs w:val="20"/>
              </w:rPr>
            </w:pPr>
            <w:r w:rsidRPr="00BF1AFA">
              <w:rPr>
                <w:color w:val="000000"/>
                <w:sz w:val="20"/>
                <w:szCs w:val="20"/>
              </w:rPr>
              <w:t xml:space="preserve">Marital status </w:t>
            </w:r>
          </w:p>
          <w:p w:rsidR="005D1312" w:rsidRPr="00BF1AFA" w:rsidRDefault="005D1312" w:rsidP="005E4E66">
            <w:pPr>
              <w:spacing w:line="240" w:lineRule="auto"/>
              <w:jc w:val="both"/>
              <w:rPr>
                <w:color w:val="000000"/>
                <w:sz w:val="20"/>
                <w:szCs w:val="20"/>
              </w:rPr>
            </w:pPr>
          </w:p>
          <w:p w:rsidR="005D1312" w:rsidRPr="00BF1AFA" w:rsidRDefault="005D1312" w:rsidP="005E4E66">
            <w:pPr>
              <w:spacing w:line="240" w:lineRule="auto"/>
              <w:jc w:val="both"/>
              <w:rPr>
                <w:color w:val="000000"/>
                <w:sz w:val="20"/>
                <w:szCs w:val="20"/>
              </w:rPr>
            </w:pPr>
          </w:p>
        </w:tc>
        <w:tc>
          <w:tcPr>
            <w:tcW w:w="5940" w:type="dxa"/>
          </w:tcPr>
          <w:p w:rsidR="005D1312" w:rsidRPr="00BF1AFA" w:rsidRDefault="005D1312" w:rsidP="005E4E66">
            <w:pPr>
              <w:spacing w:line="240" w:lineRule="auto"/>
              <w:jc w:val="both"/>
              <w:rPr>
                <w:color w:val="000000"/>
                <w:sz w:val="20"/>
                <w:szCs w:val="20"/>
              </w:rPr>
            </w:pPr>
            <w:r w:rsidRPr="00BF1AFA">
              <w:rPr>
                <w:color w:val="000000"/>
                <w:sz w:val="20"/>
                <w:szCs w:val="20"/>
              </w:rPr>
              <w:t>A set of dummy variables that take the value of 1 if the respondent is married or widowed/separated/divorced else 0 if the respondent is single.</w:t>
            </w:r>
          </w:p>
        </w:tc>
      </w:tr>
      <w:tr w:rsidR="005D1312" w:rsidRPr="00BF1AFA" w:rsidTr="005E4E66">
        <w:trPr>
          <w:trHeight w:val="300"/>
        </w:trPr>
        <w:tc>
          <w:tcPr>
            <w:tcW w:w="3255" w:type="dxa"/>
            <w:noWrap/>
            <w:vAlign w:val="bottom"/>
          </w:tcPr>
          <w:p w:rsidR="005D1312" w:rsidRPr="00BF1AFA" w:rsidRDefault="005D1312" w:rsidP="005E4E66">
            <w:pPr>
              <w:spacing w:line="240" w:lineRule="auto"/>
              <w:jc w:val="both"/>
              <w:rPr>
                <w:color w:val="000000"/>
                <w:sz w:val="20"/>
                <w:szCs w:val="20"/>
              </w:rPr>
            </w:pPr>
            <w:r w:rsidRPr="00BF1AFA">
              <w:rPr>
                <w:color w:val="000000"/>
                <w:sz w:val="20"/>
                <w:szCs w:val="20"/>
              </w:rPr>
              <w:t>Age</w:t>
            </w:r>
          </w:p>
        </w:tc>
        <w:tc>
          <w:tcPr>
            <w:tcW w:w="5940" w:type="dxa"/>
          </w:tcPr>
          <w:p w:rsidR="005D1312" w:rsidRPr="00BF1AFA" w:rsidRDefault="005D1312" w:rsidP="005E4E66">
            <w:pPr>
              <w:spacing w:line="240" w:lineRule="auto"/>
              <w:jc w:val="both"/>
              <w:rPr>
                <w:color w:val="000000"/>
                <w:sz w:val="20"/>
                <w:szCs w:val="20"/>
              </w:rPr>
            </w:pPr>
            <w:r w:rsidRPr="00BF1AFA">
              <w:rPr>
                <w:color w:val="000000"/>
                <w:sz w:val="20"/>
                <w:szCs w:val="20"/>
              </w:rPr>
              <w:t xml:space="preserve">Age in years and age squared. </w:t>
            </w:r>
          </w:p>
        </w:tc>
      </w:tr>
      <w:tr w:rsidR="005D1312" w:rsidRPr="00BF1AFA" w:rsidTr="005E4E66">
        <w:trPr>
          <w:trHeight w:val="300"/>
        </w:trPr>
        <w:tc>
          <w:tcPr>
            <w:tcW w:w="3255" w:type="dxa"/>
            <w:noWrap/>
            <w:vAlign w:val="bottom"/>
          </w:tcPr>
          <w:p w:rsidR="005D1312" w:rsidRPr="00BF1AFA" w:rsidRDefault="005D1312" w:rsidP="005E4E66">
            <w:pPr>
              <w:spacing w:line="240" w:lineRule="auto"/>
              <w:jc w:val="both"/>
              <w:rPr>
                <w:color w:val="000000"/>
                <w:sz w:val="20"/>
                <w:szCs w:val="20"/>
              </w:rPr>
            </w:pPr>
            <w:r w:rsidRPr="00BF1AFA">
              <w:rPr>
                <w:color w:val="000000"/>
                <w:sz w:val="20"/>
                <w:szCs w:val="20"/>
              </w:rPr>
              <w:t xml:space="preserve">Children </w:t>
            </w:r>
          </w:p>
          <w:p w:rsidR="005D1312" w:rsidRPr="00BF1AFA" w:rsidRDefault="005D1312" w:rsidP="005E4E66">
            <w:pPr>
              <w:spacing w:line="240" w:lineRule="auto"/>
              <w:jc w:val="both"/>
              <w:rPr>
                <w:color w:val="000000"/>
                <w:sz w:val="20"/>
                <w:szCs w:val="20"/>
              </w:rPr>
            </w:pPr>
          </w:p>
        </w:tc>
        <w:tc>
          <w:tcPr>
            <w:tcW w:w="5940" w:type="dxa"/>
          </w:tcPr>
          <w:p w:rsidR="005D1312" w:rsidRPr="00BF1AFA" w:rsidRDefault="005D1312" w:rsidP="005E4E66">
            <w:pPr>
              <w:spacing w:line="240" w:lineRule="auto"/>
              <w:jc w:val="both"/>
              <w:rPr>
                <w:color w:val="000000"/>
                <w:sz w:val="20"/>
                <w:szCs w:val="20"/>
                <w:highlight w:val="yellow"/>
              </w:rPr>
            </w:pPr>
            <w:r w:rsidRPr="00BF1AFA">
              <w:rPr>
                <w:color w:val="000000"/>
                <w:sz w:val="20"/>
                <w:szCs w:val="20"/>
              </w:rPr>
              <w:t>A dummy variable taking the value of 1 if the respondent has a child under age 16.</w:t>
            </w:r>
          </w:p>
        </w:tc>
      </w:tr>
      <w:tr w:rsidR="005D1312" w:rsidRPr="00BF1AFA" w:rsidTr="005E4E66">
        <w:trPr>
          <w:trHeight w:val="300"/>
        </w:trPr>
        <w:tc>
          <w:tcPr>
            <w:tcW w:w="3255" w:type="dxa"/>
            <w:noWrap/>
            <w:vAlign w:val="bottom"/>
          </w:tcPr>
          <w:p w:rsidR="005D1312" w:rsidRPr="00BF1AFA" w:rsidRDefault="005D1312" w:rsidP="005E4E66">
            <w:pPr>
              <w:spacing w:line="240" w:lineRule="auto"/>
              <w:jc w:val="both"/>
              <w:rPr>
                <w:color w:val="000000"/>
                <w:sz w:val="20"/>
                <w:szCs w:val="20"/>
              </w:rPr>
            </w:pPr>
            <w:r w:rsidRPr="00BF1AFA">
              <w:rPr>
                <w:color w:val="000000"/>
                <w:sz w:val="20"/>
                <w:szCs w:val="20"/>
              </w:rPr>
              <w:t>Education</w:t>
            </w:r>
          </w:p>
          <w:p w:rsidR="005D1312" w:rsidRPr="00BF1AFA" w:rsidRDefault="005D1312" w:rsidP="005E4E66">
            <w:pPr>
              <w:spacing w:line="240" w:lineRule="auto"/>
              <w:jc w:val="both"/>
              <w:rPr>
                <w:color w:val="000000"/>
                <w:sz w:val="20"/>
                <w:szCs w:val="20"/>
              </w:rPr>
            </w:pPr>
          </w:p>
          <w:p w:rsidR="005D1312" w:rsidRPr="00BF1AFA" w:rsidRDefault="005D1312" w:rsidP="005E4E66">
            <w:pPr>
              <w:spacing w:line="240" w:lineRule="auto"/>
              <w:jc w:val="both"/>
              <w:rPr>
                <w:color w:val="000000"/>
                <w:sz w:val="20"/>
                <w:szCs w:val="20"/>
              </w:rPr>
            </w:pPr>
          </w:p>
        </w:tc>
        <w:tc>
          <w:tcPr>
            <w:tcW w:w="5940" w:type="dxa"/>
          </w:tcPr>
          <w:p w:rsidR="005D1312" w:rsidRPr="00BF1AFA" w:rsidRDefault="005D1312" w:rsidP="005E4E66">
            <w:pPr>
              <w:spacing w:line="240" w:lineRule="auto"/>
              <w:jc w:val="both"/>
              <w:rPr>
                <w:color w:val="000000"/>
                <w:sz w:val="20"/>
                <w:szCs w:val="20"/>
                <w:highlight w:val="yellow"/>
              </w:rPr>
            </w:pPr>
            <w:r w:rsidRPr="00BF1AFA">
              <w:rPr>
                <w:color w:val="000000"/>
                <w:sz w:val="20"/>
                <w:szCs w:val="20"/>
              </w:rPr>
              <w:t>A set of dummy variables that take the value of 1 if the respondent holds any educational qualifications else 0. The categories are: degree, HND/high level vocational qualification, A level, GCSE/O level, lower qualifications.</w:t>
            </w:r>
          </w:p>
        </w:tc>
      </w:tr>
      <w:tr w:rsidR="005D1312" w:rsidRPr="00BF1AFA" w:rsidTr="005E4E66">
        <w:trPr>
          <w:trHeight w:val="113"/>
        </w:trPr>
        <w:tc>
          <w:tcPr>
            <w:tcW w:w="3255" w:type="dxa"/>
            <w:noWrap/>
            <w:vAlign w:val="bottom"/>
          </w:tcPr>
          <w:p w:rsidR="005D1312" w:rsidRPr="00BF1AFA" w:rsidRDefault="005D1312" w:rsidP="005E4E66">
            <w:pPr>
              <w:spacing w:line="240" w:lineRule="auto"/>
              <w:rPr>
                <w:color w:val="000000"/>
                <w:sz w:val="20"/>
                <w:szCs w:val="20"/>
              </w:rPr>
            </w:pPr>
            <w:r w:rsidRPr="00BF1AFA">
              <w:rPr>
                <w:color w:val="000000"/>
                <w:sz w:val="20"/>
                <w:szCs w:val="20"/>
              </w:rPr>
              <w:t>Income</w:t>
            </w:r>
          </w:p>
          <w:p w:rsidR="005D1312" w:rsidRPr="00BF1AFA" w:rsidRDefault="005D1312" w:rsidP="005E4E66">
            <w:pPr>
              <w:spacing w:line="240" w:lineRule="auto"/>
              <w:rPr>
                <w:color w:val="000000"/>
                <w:sz w:val="20"/>
                <w:szCs w:val="20"/>
              </w:rPr>
            </w:pPr>
          </w:p>
          <w:p w:rsidR="005D1312" w:rsidRPr="00BF1AFA" w:rsidRDefault="005D1312" w:rsidP="005E4E66">
            <w:pPr>
              <w:spacing w:line="240" w:lineRule="auto"/>
              <w:rPr>
                <w:color w:val="000000"/>
                <w:sz w:val="20"/>
                <w:szCs w:val="20"/>
              </w:rPr>
            </w:pPr>
          </w:p>
        </w:tc>
        <w:tc>
          <w:tcPr>
            <w:tcW w:w="5940" w:type="dxa"/>
          </w:tcPr>
          <w:p w:rsidR="005D1312" w:rsidRPr="00BF1AFA" w:rsidRDefault="005D1312" w:rsidP="005E4E66">
            <w:pPr>
              <w:spacing w:line="240" w:lineRule="auto"/>
              <w:jc w:val="both"/>
              <w:rPr>
                <w:color w:val="000000"/>
                <w:sz w:val="20"/>
                <w:szCs w:val="20"/>
                <w:highlight w:val="yellow"/>
              </w:rPr>
            </w:pPr>
            <w:r w:rsidRPr="00BF1AFA">
              <w:rPr>
                <w:color w:val="000000"/>
                <w:sz w:val="20"/>
                <w:szCs w:val="20"/>
              </w:rPr>
              <w:t>A set of dummy variables that take the value of 1 for various income brackets. These are: £5200 - £10399pa, £10400 -£15559pa, £15600 - £20799pa, £20800 - £33799pa and £33800 or more. The base category is under £5200pa.</w:t>
            </w:r>
          </w:p>
        </w:tc>
      </w:tr>
      <w:tr w:rsidR="005D1312" w:rsidRPr="00BF1AFA" w:rsidTr="005E4E66">
        <w:trPr>
          <w:trHeight w:val="300"/>
        </w:trPr>
        <w:tc>
          <w:tcPr>
            <w:tcW w:w="3255" w:type="dxa"/>
            <w:noWrap/>
            <w:vAlign w:val="bottom"/>
          </w:tcPr>
          <w:p w:rsidR="005D1312" w:rsidRPr="00BF1AFA" w:rsidRDefault="005D1312" w:rsidP="005E4E66">
            <w:pPr>
              <w:spacing w:line="240" w:lineRule="auto"/>
              <w:jc w:val="both"/>
              <w:rPr>
                <w:color w:val="000000"/>
                <w:sz w:val="20"/>
                <w:szCs w:val="20"/>
              </w:rPr>
            </w:pPr>
            <w:r w:rsidRPr="00BF1AFA">
              <w:rPr>
                <w:color w:val="000000"/>
                <w:sz w:val="20"/>
                <w:szCs w:val="20"/>
              </w:rPr>
              <w:t xml:space="preserve">Ethnicity  </w:t>
            </w:r>
          </w:p>
        </w:tc>
        <w:tc>
          <w:tcPr>
            <w:tcW w:w="5940" w:type="dxa"/>
          </w:tcPr>
          <w:p w:rsidR="005D1312" w:rsidRPr="00BF1AFA" w:rsidRDefault="005D1312" w:rsidP="005E4E66">
            <w:pPr>
              <w:spacing w:line="240" w:lineRule="auto"/>
              <w:jc w:val="both"/>
              <w:rPr>
                <w:color w:val="000000"/>
                <w:sz w:val="20"/>
                <w:szCs w:val="20"/>
                <w:highlight w:val="yellow"/>
              </w:rPr>
            </w:pPr>
            <w:r w:rsidRPr="00BF1AFA">
              <w:rPr>
                <w:color w:val="000000"/>
                <w:sz w:val="20"/>
                <w:szCs w:val="20"/>
              </w:rPr>
              <w:t>A dummy variable takes the value of 1 where the respondent is not white.</w:t>
            </w:r>
          </w:p>
        </w:tc>
      </w:tr>
      <w:tr w:rsidR="005D1312" w:rsidRPr="00BF1AFA" w:rsidTr="005E4E66">
        <w:trPr>
          <w:trHeight w:val="300"/>
        </w:trPr>
        <w:tc>
          <w:tcPr>
            <w:tcW w:w="3255" w:type="dxa"/>
            <w:noWrap/>
            <w:vAlign w:val="bottom"/>
          </w:tcPr>
          <w:p w:rsidR="005D1312" w:rsidRPr="00BF1AFA" w:rsidRDefault="005D1312" w:rsidP="005E4E66">
            <w:pPr>
              <w:spacing w:line="240" w:lineRule="auto"/>
              <w:jc w:val="both"/>
              <w:rPr>
                <w:color w:val="000000"/>
                <w:sz w:val="20"/>
                <w:szCs w:val="20"/>
              </w:rPr>
            </w:pPr>
            <w:r w:rsidRPr="00BF1AFA">
              <w:rPr>
                <w:color w:val="000000"/>
                <w:sz w:val="20"/>
                <w:szCs w:val="20"/>
              </w:rPr>
              <w:t xml:space="preserve">Employment status </w:t>
            </w:r>
          </w:p>
        </w:tc>
        <w:tc>
          <w:tcPr>
            <w:tcW w:w="5940" w:type="dxa"/>
          </w:tcPr>
          <w:p w:rsidR="005D1312" w:rsidRPr="00BF1AFA" w:rsidRDefault="005D1312" w:rsidP="005E4E66">
            <w:pPr>
              <w:spacing w:line="240" w:lineRule="auto"/>
              <w:jc w:val="both"/>
              <w:rPr>
                <w:color w:val="000000"/>
                <w:sz w:val="20"/>
                <w:szCs w:val="20"/>
                <w:highlight w:val="yellow"/>
              </w:rPr>
            </w:pPr>
            <w:r w:rsidRPr="00BF1AFA">
              <w:rPr>
                <w:color w:val="000000"/>
                <w:sz w:val="20"/>
                <w:szCs w:val="20"/>
              </w:rPr>
              <w:t>A dummy variable takes the value of 1 if the respondent states he/she is working, else zero.</w:t>
            </w:r>
          </w:p>
        </w:tc>
      </w:tr>
      <w:tr w:rsidR="005D1312" w:rsidRPr="00BF1AFA" w:rsidTr="005E4E66">
        <w:trPr>
          <w:trHeight w:val="300"/>
        </w:trPr>
        <w:tc>
          <w:tcPr>
            <w:tcW w:w="3255" w:type="dxa"/>
            <w:noWrap/>
            <w:vAlign w:val="bottom"/>
          </w:tcPr>
          <w:p w:rsidR="005D1312" w:rsidRPr="00BF1AFA" w:rsidRDefault="005D1312" w:rsidP="005E4E66">
            <w:pPr>
              <w:spacing w:line="240" w:lineRule="auto"/>
              <w:jc w:val="both"/>
              <w:rPr>
                <w:color w:val="000000"/>
                <w:sz w:val="20"/>
                <w:szCs w:val="20"/>
              </w:rPr>
            </w:pPr>
            <w:r w:rsidRPr="00BF1AFA">
              <w:rPr>
                <w:color w:val="000000"/>
                <w:sz w:val="20"/>
                <w:szCs w:val="20"/>
              </w:rPr>
              <w:t xml:space="preserve">Region </w:t>
            </w:r>
          </w:p>
        </w:tc>
        <w:tc>
          <w:tcPr>
            <w:tcW w:w="5940" w:type="dxa"/>
          </w:tcPr>
          <w:p w:rsidR="005D1312" w:rsidRPr="00BF1AFA" w:rsidRDefault="005D1312" w:rsidP="005E4E66">
            <w:pPr>
              <w:spacing w:line="240" w:lineRule="auto"/>
              <w:jc w:val="both"/>
              <w:rPr>
                <w:color w:val="000000"/>
                <w:sz w:val="20"/>
                <w:szCs w:val="20"/>
                <w:highlight w:val="yellow"/>
              </w:rPr>
            </w:pPr>
            <w:r w:rsidRPr="00BF1AFA">
              <w:rPr>
                <w:color w:val="000000"/>
                <w:sz w:val="20"/>
                <w:szCs w:val="20"/>
              </w:rPr>
              <w:t>A set of dummy variables that each take the value of 1 if the respondent lives in the region else zero. The regions include, the North, North West, Yorkshire and Humber, East Midlands, West Midlands, East, South West, South East. Greater London is the base category.</w:t>
            </w:r>
          </w:p>
        </w:tc>
      </w:tr>
      <w:tr w:rsidR="005D1312" w:rsidRPr="00BF1AFA" w:rsidTr="005E4E66">
        <w:trPr>
          <w:trHeight w:val="300"/>
        </w:trPr>
        <w:tc>
          <w:tcPr>
            <w:tcW w:w="3255" w:type="dxa"/>
            <w:noWrap/>
          </w:tcPr>
          <w:p w:rsidR="005D1312" w:rsidRPr="00BF1AFA" w:rsidRDefault="005D1312" w:rsidP="005E4E66">
            <w:pPr>
              <w:spacing w:line="240" w:lineRule="auto"/>
              <w:jc w:val="both"/>
              <w:rPr>
                <w:sz w:val="20"/>
                <w:szCs w:val="20"/>
              </w:rPr>
            </w:pPr>
            <w:r w:rsidRPr="00BF1AFA">
              <w:rPr>
                <w:sz w:val="20"/>
                <w:szCs w:val="20"/>
              </w:rPr>
              <w:t>Year</w:t>
            </w:r>
          </w:p>
        </w:tc>
        <w:tc>
          <w:tcPr>
            <w:tcW w:w="5940" w:type="dxa"/>
          </w:tcPr>
          <w:p w:rsidR="005D1312" w:rsidRPr="00BF1AFA" w:rsidRDefault="005D1312" w:rsidP="005E4E66">
            <w:pPr>
              <w:spacing w:line="240" w:lineRule="auto"/>
              <w:jc w:val="both"/>
              <w:rPr>
                <w:sz w:val="20"/>
                <w:szCs w:val="20"/>
              </w:rPr>
            </w:pPr>
            <w:r w:rsidRPr="00BF1AFA">
              <w:rPr>
                <w:sz w:val="20"/>
                <w:szCs w:val="20"/>
              </w:rPr>
              <w:t xml:space="preserve">In models where the data from 2000 and 2007 is pooled, a dummy variable takes the value 1 if the data is from 2007 and 0 for 2000. </w:t>
            </w:r>
          </w:p>
        </w:tc>
      </w:tr>
      <w:tr w:rsidR="005D1312" w:rsidRPr="00BF1AFA" w:rsidTr="005E4E66">
        <w:trPr>
          <w:trHeight w:val="300"/>
        </w:trPr>
        <w:tc>
          <w:tcPr>
            <w:tcW w:w="3255" w:type="dxa"/>
            <w:noWrap/>
          </w:tcPr>
          <w:p w:rsidR="005D1312" w:rsidRPr="00BF1AFA" w:rsidRDefault="005D1312" w:rsidP="005E4E66">
            <w:pPr>
              <w:spacing w:line="240" w:lineRule="auto"/>
              <w:jc w:val="both"/>
              <w:rPr>
                <w:sz w:val="20"/>
                <w:szCs w:val="20"/>
              </w:rPr>
            </w:pPr>
            <w:r w:rsidRPr="00BF1AFA">
              <w:rPr>
                <w:sz w:val="20"/>
                <w:szCs w:val="20"/>
              </w:rPr>
              <w:t>Physical health</w:t>
            </w:r>
          </w:p>
        </w:tc>
        <w:tc>
          <w:tcPr>
            <w:tcW w:w="5940" w:type="dxa"/>
          </w:tcPr>
          <w:p w:rsidR="005D1312" w:rsidRPr="00BF1AFA" w:rsidRDefault="005D1312" w:rsidP="005E4E66">
            <w:pPr>
              <w:spacing w:line="240" w:lineRule="auto"/>
              <w:jc w:val="both"/>
              <w:rPr>
                <w:sz w:val="20"/>
                <w:szCs w:val="20"/>
                <w:highlight w:val="yellow"/>
              </w:rPr>
            </w:pPr>
            <w:r w:rsidRPr="00BF1AFA">
              <w:rPr>
                <w:sz w:val="20"/>
                <w:szCs w:val="20"/>
              </w:rPr>
              <w:t xml:space="preserve">A set of dummy variables that each take the value 1 if the respondent has the health problem, and zero otherwise. The </w:t>
            </w:r>
            <w:r>
              <w:rPr>
                <w:sz w:val="20"/>
                <w:szCs w:val="20"/>
              </w:rPr>
              <w:t>conditions</w:t>
            </w:r>
            <w:r w:rsidRPr="00BF1AFA">
              <w:rPr>
                <w:sz w:val="20"/>
                <w:szCs w:val="20"/>
              </w:rPr>
              <w:t xml:space="preserve"> are: muscular/skeletal, respiratory, digestive, heart/circulatory, urinary, skin, ear, eye, neoplasm, blood, infection. The omitted category is no physical health problem. </w:t>
            </w:r>
          </w:p>
        </w:tc>
      </w:tr>
      <w:tr w:rsidR="005D1312" w:rsidRPr="00BF1AFA" w:rsidTr="005E4E66">
        <w:trPr>
          <w:trHeight w:val="300"/>
        </w:trPr>
        <w:tc>
          <w:tcPr>
            <w:tcW w:w="3255" w:type="dxa"/>
            <w:noWrap/>
          </w:tcPr>
          <w:p w:rsidR="005D1312" w:rsidRPr="00BF1AFA" w:rsidRDefault="005D1312" w:rsidP="005E4E66">
            <w:pPr>
              <w:spacing w:line="240" w:lineRule="auto"/>
              <w:jc w:val="both"/>
              <w:rPr>
                <w:color w:val="000000"/>
                <w:sz w:val="20"/>
                <w:szCs w:val="20"/>
              </w:rPr>
            </w:pPr>
            <w:r w:rsidRPr="00BF1AFA">
              <w:rPr>
                <w:color w:val="000000"/>
                <w:sz w:val="20"/>
                <w:szCs w:val="20"/>
              </w:rPr>
              <w:t xml:space="preserve">Mental health </w:t>
            </w:r>
          </w:p>
        </w:tc>
        <w:tc>
          <w:tcPr>
            <w:tcW w:w="5940" w:type="dxa"/>
          </w:tcPr>
          <w:p w:rsidR="005D1312" w:rsidRPr="00BF1AFA" w:rsidRDefault="005D1312" w:rsidP="005D1312">
            <w:pPr>
              <w:numPr>
                <w:ilvl w:val="0"/>
                <w:numId w:val="1"/>
              </w:numPr>
              <w:spacing w:line="240" w:lineRule="auto"/>
              <w:ind w:left="357" w:hanging="357"/>
              <w:jc w:val="both"/>
              <w:rPr>
                <w:sz w:val="20"/>
                <w:szCs w:val="20"/>
              </w:rPr>
            </w:pPr>
            <w:r w:rsidRPr="00BF1AFA">
              <w:rPr>
                <w:sz w:val="20"/>
                <w:szCs w:val="20"/>
              </w:rPr>
              <w:t xml:space="preserve">A set of dummy variables that each take the value 1 if the respondent has the health problem, and zero otherwise. The </w:t>
            </w:r>
            <w:r>
              <w:rPr>
                <w:sz w:val="20"/>
                <w:szCs w:val="20"/>
              </w:rPr>
              <w:t>conditions</w:t>
            </w:r>
            <w:r w:rsidRPr="00BF1AFA">
              <w:rPr>
                <w:sz w:val="20"/>
                <w:szCs w:val="20"/>
              </w:rPr>
              <w:t xml:space="preserve"> are</w:t>
            </w:r>
            <w:r w:rsidRPr="00BF1AFA">
              <w:rPr>
                <w:color w:val="000000"/>
                <w:sz w:val="20"/>
                <w:szCs w:val="20"/>
              </w:rPr>
              <w:t xml:space="preserve"> generalised anxiety disorder, mixed anxiety depressive disorder, panic disorder, obsessive compulsive disorder, phobia, psychosis, personality disorder, depression, alcohol dependence and drug dependence</w:t>
            </w:r>
            <w:r w:rsidRPr="00BF1AFA">
              <w:rPr>
                <w:sz w:val="20"/>
                <w:szCs w:val="20"/>
              </w:rPr>
              <w:t xml:space="preserve">. The omitted category is no mental health problem. </w:t>
            </w:r>
          </w:p>
          <w:p w:rsidR="005D1312" w:rsidRPr="00BF1AFA" w:rsidRDefault="005D1312" w:rsidP="005D1312">
            <w:pPr>
              <w:numPr>
                <w:ilvl w:val="0"/>
                <w:numId w:val="1"/>
              </w:numPr>
              <w:spacing w:line="240" w:lineRule="auto"/>
              <w:jc w:val="both"/>
              <w:rPr>
                <w:sz w:val="20"/>
                <w:szCs w:val="20"/>
              </w:rPr>
            </w:pPr>
            <w:r w:rsidRPr="00BF1AFA">
              <w:rPr>
                <w:sz w:val="20"/>
                <w:szCs w:val="20"/>
              </w:rPr>
              <w:t xml:space="preserve">A set of 7 dummy variables to represent levels of overall CIS-R score. The CIS-R score is an instrument designed to measure neurotic symptoms. The range is from zero to 36+. CISR=2=a score of 6-11; CISR=3 = a score of 12-17; CISR=4 = a score of 18-23; CISR=5 = a score of 24-29; CISR=6 = a score of 30-35; CISR=7 = a score of 36+. The omitted category is CISR=1 which indicates a score of 0-5. </w:t>
            </w:r>
          </w:p>
        </w:tc>
      </w:tr>
    </w:tbl>
    <w:p w:rsidR="005D1312" w:rsidRDefault="005D1312" w:rsidP="005D1312">
      <w:pPr>
        <w:spacing w:line="360" w:lineRule="auto"/>
        <w:jc w:val="both"/>
      </w:pPr>
    </w:p>
    <w:p w:rsidR="005D1312" w:rsidRDefault="005D1312" w:rsidP="005D1312">
      <w:pPr>
        <w:spacing w:before="0" w:line="240" w:lineRule="auto"/>
      </w:pPr>
      <w:r>
        <w:br w:type="page"/>
      </w:r>
    </w:p>
    <w:p w:rsidR="00EA1A42" w:rsidRPr="00BF1AFA" w:rsidRDefault="00EA1A42" w:rsidP="00EA1A42">
      <w:pPr>
        <w:spacing w:line="360" w:lineRule="auto"/>
        <w:jc w:val="both"/>
        <w:rPr>
          <w:rFonts w:ascii="Garamond" w:hAnsi="Garamond"/>
          <w:b/>
        </w:rPr>
      </w:pPr>
      <w:r w:rsidRPr="00BF1AFA">
        <w:rPr>
          <w:rFonts w:ascii="Garamond" w:hAnsi="Garamond"/>
          <w:b/>
        </w:rPr>
        <w:lastRenderedPageBreak/>
        <w:t xml:space="preserve">Figure 1a: Distribution of SF-6D index </w:t>
      </w:r>
    </w:p>
    <w:p w:rsidR="00EA1A42" w:rsidRPr="00BF1AFA" w:rsidRDefault="00EA1A42" w:rsidP="00EA1A42">
      <w:pPr>
        <w:spacing w:line="360" w:lineRule="auto"/>
        <w:jc w:val="both"/>
      </w:pPr>
      <w:bookmarkStart w:id="0" w:name="_GoBack"/>
      <w:bookmarkEnd w:id="0"/>
    </w:p>
    <w:p w:rsidR="00EA1A42" w:rsidRPr="00BF1AFA" w:rsidRDefault="00EA1A42" w:rsidP="00EA1A42">
      <w:pPr>
        <w:spacing w:line="360" w:lineRule="auto"/>
        <w:jc w:val="both"/>
        <w:rPr>
          <w:rFonts w:ascii="Garamond" w:hAnsi="Garamond"/>
          <w:highlight w:val="green"/>
        </w:rPr>
      </w:pPr>
      <w:r>
        <w:rPr>
          <w:rFonts w:ascii="Garamond" w:hAnsi="Garamond"/>
          <w:noProof/>
          <w:lang w:val="en-US"/>
        </w:rPr>
        <w:drawing>
          <wp:inline distT="0" distB="0" distL="0" distR="0">
            <wp:extent cx="5114925" cy="37433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114925" cy="3743325"/>
                    </a:xfrm>
                    <a:prstGeom prst="rect">
                      <a:avLst/>
                    </a:prstGeom>
                    <a:noFill/>
                    <a:ln w="9525">
                      <a:noFill/>
                      <a:miter lim="800000"/>
                      <a:headEnd/>
                      <a:tailEnd/>
                    </a:ln>
                  </pic:spPr>
                </pic:pic>
              </a:graphicData>
            </a:graphic>
          </wp:inline>
        </w:drawing>
      </w:r>
    </w:p>
    <w:p w:rsidR="00EA1A42" w:rsidRDefault="00EA1A42" w:rsidP="00EA1A42">
      <w:pPr>
        <w:spacing w:line="360" w:lineRule="auto"/>
        <w:jc w:val="both"/>
        <w:rPr>
          <w:rFonts w:ascii="Garamond" w:hAnsi="Garamond"/>
          <w:b/>
        </w:rPr>
      </w:pPr>
      <w:r w:rsidRPr="00BF1AFA">
        <w:rPr>
          <w:rFonts w:ascii="Garamond" w:hAnsi="Garamond"/>
          <w:b/>
        </w:rPr>
        <w:t xml:space="preserve">Figure 1b: Distribution of </w:t>
      </w:r>
      <w:r>
        <w:rPr>
          <w:rFonts w:ascii="Garamond" w:hAnsi="Garamond"/>
          <w:b/>
        </w:rPr>
        <w:t xml:space="preserve">EQ-5D index </w:t>
      </w:r>
    </w:p>
    <w:p w:rsidR="00EA1A42" w:rsidRPr="00EA1A42" w:rsidRDefault="008C528C" w:rsidP="00EA1A42">
      <w:pPr>
        <w:spacing w:line="360" w:lineRule="auto"/>
        <w:jc w:val="both"/>
        <w:rPr>
          <w:rFonts w:ascii="Garamond" w:hAnsi="Garamond"/>
          <w:b/>
        </w:rPr>
      </w:pPr>
      <w:r>
        <w:rPr>
          <w:rFonts w:ascii="Garamond" w:hAnsi="Garamond"/>
          <w:b/>
          <w:noProof/>
          <w:lang w:val="en-US"/>
        </w:rPr>
        <w:drawing>
          <wp:anchor distT="0" distB="0" distL="114300" distR="114300" simplePos="0" relativeHeight="251659264" behindDoc="0" locked="0" layoutInCell="1" allowOverlap="1">
            <wp:simplePos x="0" y="0"/>
            <wp:positionH relativeFrom="column">
              <wp:posOffset>-635</wp:posOffset>
            </wp:positionH>
            <wp:positionV relativeFrom="paragraph">
              <wp:posOffset>250190</wp:posOffset>
            </wp:positionV>
            <wp:extent cx="5114925" cy="3743325"/>
            <wp:effectExtent l="0" t="0" r="9525"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4925" cy="3743325"/>
                    </a:xfrm>
                    <a:prstGeom prst="rect">
                      <a:avLst/>
                    </a:prstGeom>
                    <a:noFill/>
                    <a:ln w="9525">
                      <a:noFill/>
                      <a:miter lim="800000"/>
                      <a:headEnd/>
                      <a:tailEnd/>
                    </a:ln>
                  </pic:spPr>
                </pic:pic>
              </a:graphicData>
            </a:graphic>
          </wp:anchor>
        </w:drawing>
      </w:r>
    </w:p>
    <w:sectPr w:rsidR="00EA1A42" w:rsidRPr="00EA1A42" w:rsidSect="00266D9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13E8E"/>
    <w:multiLevelType w:val="hybridMultilevel"/>
    <w:tmpl w:val="FB8CE38C"/>
    <w:lvl w:ilvl="0" w:tplc="65E46292">
      <w:start w:val="1"/>
      <w:numFmt w:val="lowerLetter"/>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5D1312"/>
    <w:rsid w:val="00266D94"/>
    <w:rsid w:val="005D1312"/>
    <w:rsid w:val="008C528C"/>
    <w:rsid w:val="00B1298D"/>
    <w:rsid w:val="00B6580F"/>
    <w:rsid w:val="00D52D88"/>
    <w:rsid w:val="00D63EAA"/>
    <w:rsid w:val="00EA1A42"/>
    <w:rsid w:val="00F84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312"/>
    <w:pPr>
      <w:spacing w:before="120" w:after="0"/>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1A4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A4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312"/>
    <w:pPr>
      <w:spacing w:before="120" w:after="0"/>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1A4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A4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ebacong</cp:lastModifiedBy>
  <cp:revision>5</cp:revision>
  <dcterms:created xsi:type="dcterms:W3CDTF">2013-07-11T14:04:00Z</dcterms:created>
  <dcterms:modified xsi:type="dcterms:W3CDTF">2014-01-10T05:34:00Z</dcterms:modified>
</cp:coreProperties>
</file>