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36C" w:rsidRDefault="0088136C" w:rsidP="00C55C86">
      <w:pPr>
        <w:spacing w:line="360" w:lineRule="auto"/>
        <w:rPr>
          <w:rFonts w:asciiTheme="minorHAnsi" w:hAnsiTheme="minorHAnsi" w:cstheme="minorHAnsi"/>
          <w:b/>
          <w:sz w:val="22"/>
          <w:szCs w:val="22"/>
          <w:lang w:val="en-ZA"/>
        </w:rPr>
      </w:pPr>
      <w:r>
        <w:rPr>
          <w:rFonts w:asciiTheme="minorHAnsi" w:hAnsiTheme="minorHAnsi" w:cstheme="minorHAnsi"/>
          <w:b/>
          <w:sz w:val="22"/>
          <w:szCs w:val="22"/>
          <w:lang w:val="en-ZA"/>
        </w:rPr>
        <w:t>Additional Material</w:t>
      </w:r>
    </w:p>
    <w:p w:rsidR="0088136C" w:rsidRDefault="0088136C" w:rsidP="00C55C86">
      <w:pPr>
        <w:spacing w:line="360" w:lineRule="auto"/>
        <w:rPr>
          <w:rFonts w:asciiTheme="minorHAnsi" w:hAnsiTheme="minorHAnsi" w:cstheme="minorHAnsi"/>
          <w:b/>
          <w:sz w:val="22"/>
          <w:szCs w:val="22"/>
          <w:lang w:val="en-ZA"/>
        </w:rPr>
      </w:pPr>
    </w:p>
    <w:p w:rsidR="0088136C" w:rsidRPr="006A55F0" w:rsidRDefault="0088136C" w:rsidP="00C55C86">
      <w:pPr>
        <w:spacing w:line="360" w:lineRule="auto"/>
        <w:rPr>
          <w:rFonts w:asciiTheme="minorHAnsi" w:hAnsiTheme="minorHAnsi" w:cstheme="minorHAnsi"/>
          <w:b/>
          <w:sz w:val="22"/>
          <w:szCs w:val="22"/>
          <w:lang w:val="en-ZA"/>
        </w:rPr>
      </w:pPr>
      <w:r w:rsidRPr="006A55F0">
        <w:rPr>
          <w:rFonts w:asciiTheme="minorHAnsi" w:hAnsiTheme="minorHAnsi" w:cstheme="minorHAnsi"/>
          <w:b/>
          <w:sz w:val="22"/>
          <w:szCs w:val="22"/>
          <w:lang w:val="en-ZA"/>
        </w:rPr>
        <w:t xml:space="preserve">Appendix A: Data on </w:t>
      </w:r>
      <w:r w:rsidR="00E01B09" w:rsidRPr="006A55F0">
        <w:rPr>
          <w:rFonts w:asciiTheme="minorHAnsi" w:hAnsiTheme="minorHAnsi" w:cstheme="minorHAnsi"/>
          <w:b/>
          <w:sz w:val="22"/>
          <w:szCs w:val="22"/>
          <w:lang w:val="en-ZA"/>
        </w:rPr>
        <w:t xml:space="preserve">TB treatment cost </w:t>
      </w:r>
      <w:r w:rsidR="00E01B09">
        <w:rPr>
          <w:rFonts w:asciiTheme="minorHAnsi" w:hAnsiTheme="minorHAnsi" w:cstheme="minorHAnsi"/>
          <w:b/>
          <w:sz w:val="22"/>
          <w:szCs w:val="22"/>
          <w:lang w:val="en-ZA"/>
        </w:rPr>
        <w:t xml:space="preserve">and </w:t>
      </w:r>
      <w:r w:rsidRPr="006A55F0">
        <w:rPr>
          <w:rFonts w:asciiTheme="minorHAnsi" w:hAnsiTheme="minorHAnsi" w:cstheme="minorHAnsi"/>
          <w:b/>
          <w:sz w:val="22"/>
          <w:szCs w:val="22"/>
          <w:lang w:val="en-ZA"/>
        </w:rPr>
        <w:t>disease burden in South Africa</w:t>
      </w:r>
    </w:p>
    <w:p w:rsidR="0088136C" w:rsidRDefault="0088136C" w:rsidP="00546C4A">
      <w:pPr>
        <w:spacing w:line="360" w:lineRule="auto"/>
        <w:rPr>
          <w:sz w:val="22"/>
          <w:szCs w:val="22"/>
          <w:lang w:val="en-ZA"/>
        </w:rPr>
      </w:pPr>
      <w:bookmarkStart w:id="0" w:name="_Ref327276344"/>
    </w:p>
    <w:p w:rsidR="00546C4A" w:rsidRPr="00546C4A" w:rsidRDefault="00546C4A" w:rsidP="00546C4A">
      <w:pPr>
        <w:spacing w:line="360" w:lineRule="auto"/>
        <w:rPr>
          <w:sz w:val="22"/>
          <w:szCs w:val="22"/>
          <w:lang w:val="en-ZA"/>
        </w:rPr>
      </w:pPr>
      <w:r w:rsidRPr="00546C4A">
        <w:rPr>
          <w:sz w:val="22"/>
          <w:szCs w:val="22"/>
          <w:lang w:val="en-ZA"/>
        </w:rPr>
        <w:t>INSERT TABLE 2 HERE</w:t>
      </w:r>
    </w:p>
    <w:bookmarkEnd w:id="0"/>
    <w:p w:rsidR="0088136C" w:rsidRPr="00546C4A" w:rsidRDefault="0088136C" w:rsidP="00546C4A">
      <w:pPr>
        <w:spacing w:line="360" w:lineRule="auto"/>
        <w:rPr>
          <w:rFonts w:cstheme="minorHAnsi"/>
          <w:sz w:val="22"/>
          <w:szCs w:val="22"/>
        </w:rPr>
      </w:pPr>
    </w:p>
    <w:p w:rsidR="00546C4A" w:rsidRDefault="00546C4A" w:rsidP="00546C4A">
      <w:pPr>
        <w:spacing w:line="360" w:lineRule="auto"/>
        <w:rPr>
          <w:rFonts w:asciiTheme="minorHAnsi" w:hAnsiTheme="minorHAnsi" w:cstheme="minorHAnsi"/>
          <w:sz w:val="22"/>
          <w:szCs w:val="22"/>
          <w:lang w:val="en-ZA"/>
        </w:rPr>
      </w:pPr>
      <w:r w:rsidRPr="00546C4A">
        <w:rPr>
          <w:rFonts w:asciiTheme="minorHAnsi" w:hAnsiTheme="minorHAnsi" w:cstheme="minorHAnsi"/>
          <w:sz w:val="22"/>
          <w:szCs w:val="22"/>
          <w:lang w:val="en-ZA"/>
        </w:rPr>
        <w:t>INSERT TABLE 3 HERE</w:t>
      </w:r>
    </w:p>
    <w:p w:rsidR="00546C4A" w:rsidRDefault="00546C4A" w:rsidP="00546C4A">
      <w:pPr>
        <w:spacing w:line="360" w:lineRule="auto"/>
        <w:rPr>
          <w:rFonts w:asciiTheme="minorHAnsi" w:hAnsiTheme="minorHAnsi" w:cstheme="minorHAnsi"/>
          <w:sz w:val="22"/>
          <w:szCs w:val="22"/>
          <w:lang w:val="en-ZA"/>
        </w:rPr>
      </w:pPr>
    </w:p>
    <w:p w:rsidR="0088136C" w:rsidRPr="00546C4A" w:rsidRDefault="0088136C" w:rsidP="00546C4A">
      <w:pPr>
        <w:spacing w:line="360" w:lineRule="auto"/>
        <w:rPr>
          <w:rFonts w:asciiTheme="minorHAnsi" w:hAnsiTheme="minorHAnsi" w:cstheme="minorHAnsi"/>
          <w:sz w:val="22"/>
          <w:szCs w:val="22"/>
          <w:lang w:val="en-ZA"/>
        </w:rPr>
      </w:pPr>
    </w:p>
    <w:p w:rsidR="0088136C" w:rsidRPr="006A55F0" w:rsidRDefault="0088136C" w:rsidP="00C55C86">
      <w:pPr>
        <w:spacing w:line="360" w:lineRule="auto"/>
        <w:rPr>
          <w:rFonts w:asciiTheme="minorHAnsi" w:hAnsiTheme="minorHAnsi" w:cstheme="minorHAnsi"/>
          <w:b/>
          <w:sz w:val="22"/>
          <w:szCs w:val="22"/>
          <w:lang w:val="en-ZA"/>
        </w:rPr>
      </w:pPr>
      <w:r w:rsidRPr="006A55F0">
        <w:rPr>
          <w:rFonts w:asciiTheme="minorHAnsi" w:hAnsiTheme="minorHAnsi" w:cstheme="minorHAnsi"/>
          <w:b/>
          <w:sz w:val="22"/>
          <w:szCs w:val="22"/>
          <w:lang w:val="en-ZA"/>
        </w:rPr>
        <w:t>Appendix B: Costs of TB Drug Development</w:t>
      </w:r>
    </w:p>
    <w:p w:rsidR="0088136C" w:rsidRDefault="0088136C" w:rsidP="00C55C86">
      <w:pPr>
        <w:pStyle w:val="MainText"/>
        <w:spacing w:line="360" w:lineRule="auto"/>
        <w:rPr>
          <w:rFonts w:cstheme="minorHAnsi"/>
          <w:sz w:val="22"/>
          <w:szCs w:val="22"/>
        </w:rPr>
      </w:pPr>
    </w:p>
    <w:p w:rsidR="0088136C" w:rsidRPr="006A55F0" w:rsidRDefault="0088136C" w:rsidP="00C55C86">
      <w:pPr>
        <w:pStyle w:val="MainText"/>
        <w:spacing w:line="360" w:lineRule="auto"/>
        <w:rPr>
          <w:rFonts w:cstheme="minorHAnsi"/>
          <w:sz w:val="22"/>
          <w:szCs w:val="22"/>
        </w:rPr>
      </w:pPr>
      <w:r w:rsidRPr="006A55F0">
        <w:rPr>
          <w:rFonts w:cstheme="minorHAnsi"/>
          <w:sz w:val="22"/>
          <w:szCs w:val="22"/>
        </w:rPr>
        <w:t>The direct cost of new drug development, based on the process as shown in</w:t>
      </w:r>
      <w:r>
        <w:rPr>
          <w:rFonts w:cstheme="minorHAnsi"/>
          <w:sz w:val="22"/>
          <w:szCs w:val="22"/>
        </w:rPr>
        <w:t xml:space="preserve"> Table </w:t>
      </w:r>
      <w:r w:rsidR="007C2800">
        <w:rPr>
          <w:rFonts w:cstheme="minorHAnsi"/>
          <w:sz w:val="22"/>
          <w:szCs w:val="22"/>
        </w:rPr>
        <w:t>4</w:t>
      </w:r>
      <w:r w:rsidRPr="006A55F0">
        <w:rPr>
          <w:rFonts w:cstheme="minorHAnsi"/>
          <w:sz w:val="22"/>
          <w:szCs w:val="22"/>
        </w:rPr>
        <w:t>, has been extensively research</w:t>
      </w:r>
      <w:r>
        <w:rPr>
          <w:rFonts w:cstheme="minorHAnsi"/>
          <w:sz w:val="22"/>
          <w:szCs w:val="22"/>
        </w:rPr>
        <w:t>ed</w:t>
      </w:r>
      <w:r w:rsidRPr="006A55F0">
        <w:rPr>
          <w:rFonts w:cstheme="minorHAnsi"/>
          <w:sz w:val="22"/>
          <w:szCs w:val="22"/>
        </w:rPr>
        <w:t xml:space="preserve"> and reported. In a study published in 200</w:t>
      </w:r>
      <w:r>
        <w:rPr>
          <w:rFonts w:cstheme="minorHAnsi"/>
          <w:sz w:val="22"/>
          <w:szCs w:val="22"/>
        </w:rPr>
        <w:t xml:space="preserve">3 [15], </w:t>
      </w:r>
      <w:proofErr w:type="spellStart"/>
      <w:r>
        <w:rPr>
          <w:rFonts w:cstheme="minorHAnsi"/>
          <w:sz w:val="22"/>
          <w:szCs w:val="22"/>
        </w:rPr>
        <w:t>DiMasi</w:t>
      </w:r>
      <w:proofErr w:type="spellEnd"/>
      <w:r w:rsidRPr="006A55F0">
        <w:rPr>
          <w:rFonts w:cstheme="minorHAnsi"/>
          <w:sz w:val="22"/>
          <w:szCs w:val="22"/>
        </w:rPr>
        <w:t xml:space="preserve"> presented data on average times and costs for new or investigational compounds as a function of different therapeutic areas.</w:t>
      </w:r>
    </w:p>
    <w:p w:rsidR="0088136C" w:rsidRPr="006A55F0" w:rsidRDefault="0088136C" w:rsidP="00C55C86">
      <w:pPr>
        <w:pStyle w:val="MainText"/>
        <w:spacing w:line="360" w:lineRule="auto"/>
        <w:rPr>
          <w:rFonts w:cstheme="minorHAnsi"/>
          <w:sz w:val="22"/>
          <w:szCs w:val="22"/>
        </w:rPr>
      </w:pPr>
    </w:p>
    <w:p w:rsidR="0088136C" w:rsidRPr="006A55F0" w:rsidRDefault="00546C4A" w:rsidP="00C55C86">
      <w:pPr>
        <w:pStyle w:val="MainText"/>
        <w:spacing w:line="360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INSERT TABLE 4 HERE</w:t>
      </w:r>
    </w:p>
    <w:p w:rsidR="00546C4A" w:rsidRDefault="00546C4A" w:rsidP="00C55C86">
      <w:pPr>
        <w:pStyle w:val="MainText"/>
        <w:spacing w:line="360" w:lineRule="auto"/>
        <w:rPr>
          <w:rFonts w:cstheme="minorHAnsi"/>
          <w:sz w:val="22"/>
          <w:szCs w:val="22"/>
        </w:rPr>
      </w:pPr>
    </w:p>
    <w:p w:rsidR="0088136C" w:rsidRPr="006A55F0" w:rsidRDefault="0088136C" w:rsidP="00C55C86">
      <w:pPr>
        <w:pStyle w:val="MainText"/>
        <w:spacing w:line="360" w:lineRule="auto"/>
        <w:rPr>
          <w:rFonts w:cstheme="minorHAnsi"/>
          <w:sz w:val="22"/>
          <w:szCs w:val="22"/>
        </w:rPr>
      </w:pPr>
      <w:r w:rsidRPr="006A55F0">
        <w:rPr>
          <w:rFonts w:cstheme="minorHAnsi"/>
          <w:sz w:val="22"/>
          <w:szCs w:val="22"/>
        </w:rPr>
        <w:t>An alternative method to the estimation of drug costs can be estimated by dividing the actual R&amp;D expenditure for a single company by the number of new drugs approved as shown in</w:t>
      </w:r>
      <w:r w:rsidR="007C2800">
        <w:rPr>
          <w:rFonts w:cstheme="minorHAnsi"/>
          <w:sz w:val="22"/>
          <w:szCs w:val="22"/>
        </w:rPr>
        <w:t xml:space="preserve"> Table 5</w:t>
      </w:r>
      <w:r w:rsidRPr="006A55F0">
        <w:rPr>
          <w:rFonts w:cstheme="minorHAnsi"/>
          <w:sz w:val="22"/>
          <w:szCs w:val="22"/>
        </w:rPr>
        <w:t>.</w:t>
      </w:r>
    </w:p>
    <w:p w:rsidR="00546C4A" w:rsidRDefault="00546C4A" w:rsidP="00C55C86">
      <w:pPr>
        <w:pStyle w:val="MainText"/>
        <w:spacing w:line="360" w:lineRule="auto"/>
        <w:rPr>
          <w:rFonts w:cstheme="minorHAnsi"/>
          <w:sz w:val="22"/>
          <w:szCs w:val="22"/>
        </w:rPr>
      </w:pPr>
    </w:p>
    <w:p w:rsidR="0088136C" w:rsidRDefault="00546C4A" w:rsidP="00C55C86">
      <w:pPr>
        <w:pStyle w:val="MainText"/>
        <w:spacing w:line="360" w:lineRule="aut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INSERT TABLE 5 HERE</w:t>
      </w:r>
    </w:p>
    <w:p w:rsidR="00546C4A" w:rsidRPr="006A55F0" w:rsidRDefault="00546C4A" w:rsidP="00C55C86">
      <w:pPr>
        <w:pStyle w:val="MainText"/>
        <w:spacing w:line="360" w:lineRule="auto"/>
        <w:rPr>
          <w:rFonts w:cstheme="minorHAnsi"/>
          <w:sz w:val="22"/>
          <w:szCs w:val="22"/>
        </w:rPr>
      </w:pPr>
    </w:p>
    <w:p w:rsidR="0088136C" w:rsidRPr="006A55F0" w:rsidRDefault="0088136C" w:rsidP="00C55C86">
      <w:pPr>
        <w:pStyle w:val="MainText"/>
        <w:spacing w:line="360" w:lineRule="auto"/>
        <w:rPr>
          <w:rFonts w:cstheme="minorHAnsi"/>
          <w:sz w:val="22"/>
          <w:szCs w:val="22"/>
        </w:rPr>
      </w:pPr>
      <w:r w:rsidRPr="006A55F0">
        <w:rPr>
          <w:rFonts w:cstheme="minorHAnsi"/>
          <w:sz w:val="22"/>
          <w:szCs w:val="22"/>
        </w:rPr>
        <w:t>Some work has also been completed specifically on TB drug costs; for instance a publication by the TB Alliance estimates the cost of developing a new TB drug at between $115 million to $240 million</w:t>
      </w:r>
      <w:r>
        <w:rPr>
          <w:rFonts w:cstheme="minorHAnsi"/>
          <w:sz w:val="22"/>
          <w:szCs w:val="22"/>
        </w:rPr>
        <w:t xml:space="preserve"> [12]</w:t>
      </w:r>
      <w:r w:rsidRPr="006A55F0">
        <w:rPr>
          <w:rFonts w:cstheme="minorHAnsi"/>
          <w:sz w:val="22"/>
          <w:szCs w:val="22"/>
        </w:rPr>
        <w:t>.</w:t>
      </w:r>
    </w:p>
    <w:p w:rsidR="0088136C" w:rsidRPr="006A55F0" w:rsidRDefault="0088136C" w:rsidP="00C55C86">
      <w:pPr>
        <w:pStyle w:val="MainText"/>
        <w:spacing w:line="360" w:lineRule="auto"/>
        <w:rPr>
          <w:rFonts w:cstheme="minorHAnsi"/>
          <w:sz w:val="22"/>
          <w:szCs w:val="22"/>
        </w:rPr>
      </w:pPr>
    </w:p>
    <w:p w:rsidR="0088136C" w:rsidRPr="006A55F0" w:rsidRDefault="0088136C" w:rsidP="00C55C86">
      <w:pPr>
        <w:pStyle w:val="MainText"/>
        <w:spacing w:line="360" w:lineRule="auto"/>
        <w:rPr>
          <w:rFonts w:cstheme="minorHAnsi"/>
          <w:sz w:val="22"/>
          <w:szCs w:val="22"/>
        </w:rPr>
      </w:pPr>
      <w:r w:rsidRPr="006A55F0">
        <w:rPr>
          <w:rFonts w:cstheme="minorHAnsi"/>
          <w:sz w:val="22"/>
          <w:szCs w:val="22"/>
        </w:rPr>
        <w:t>In this article, use is made of risk-adjusted net present (</w:t>
      </w:r>
      <w:proofErr w:type="spellStart"/>
      <w:r w:rsidRPr="006A55F0">
        <w:rPr>
          <w:rFonts w:cstheme="minorHAnsi"/>
          <w:sz w:val="22"/>
          <w:szCs w:val="22"/>
        </w:rPr>
        <w:t>rNPV</w:t>
      </w:r>
      <w:proofErr w:type="spellEnd"/>
      <w:r w:rsidRPr="006A55F0">
        <w:rPr>
          <w:rFonts w:cstheme="minorHAnsi"/>
          <w:sz w:val="22"/>
          <w:szCs w:val="22"/>
        </w:rPr>
        <w:t xml:space="preserve">) value to calculate the cost.  Evaluation of the </w:t>
      </w:r>
      <w:proofErr w:type="spellStart"/>
      <w:r w:rsidRPr="006A55F0">
        <w:rPr>
          <w:rFonts w:cstheme="minorHAnsi"/>
          <w:sz w:val="22"/>
          <w:szCs w:val="22"/>
        </w:rPr>
        <w:t>rNPV</w:t>
      </w:r>
      <w:proofErr w:type="spellEnd"/>
      <w:r w:rsidRPr="006A55F0">
        <w:rPr>
          <w:rFonts w:cstheme="minorHAnsi"/>
          <w:sz w:val="22"/>
          <w:szCs w:val="22"/>
        </w:rPr>
        <w:t xml:space="preserve"> requires a number of assumptions about the form of the public/private partnership and the nature of the market opportunity, including the following:</w:t>
      </w:r>
    </w:p>
    <w:p w:rsidR="0088136C" w:rsidRPr="006A55F0" w:rsidRDefault="0088136C" w:rsidP="00C55C86">
      <w:pPr>
        <w:pStyle w:val="MainText"/>
        <w:spacing w:line="360" w:lineRule="auto"/>
        <w:rPr>
          <w:rFonts w:cstheme="minorHAnsi"/>
          <w:sz w:val="22"/>
          <w:szCs w:val="22"/>
        </w:rPr>
      </w:pPr>
    </w:p>
    <w:p w:rsidR="0088136C" w:rsidRPr="006A55F0" w:rsidRDefault="0088136C" w:rsidP="00C55C86">
      <w:pPr>
        <w:pStyle w:val="BulletTex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6A55F0">
        <w:rPr>
          <w:rFonts w:asciiTheme="minorHAnsi" w:hAnsiTheme="minorHAnsi" w:cstheme="minorHAnsi"/>
          <w:sz w:val="22"/>
          <w:szCs w:val="22"/>
        </w:rPr>
        <w:t xml:space="preserve">the form of product or service under development (drug, vaccine, diagnostic, health service, </w:t>
      </w:r>
      <w:proofErr w:type="spellStart"/>
      <w:r w:rsidRPr="006A55F0">
        <w:rPr>
          <w:rFonts w:asciiTheme="minorHAnsi" w:hAnsiTheme="minorHAnsi" w:cstheme="minorHAnsi"/>
          <w:sz w:val="22"/>
          <w:szCs w:val="22"/>
        </w:rPr>
        <w:t>etc</w:t>
      </w:r>
      <w:proofErr w:type="spellEnd"/>
      <w:r w:rsidRPr="006A55F0">
        <w:rPr>
          <w:rFonts w:asciiTheme="minorHAnsi" w:hAnsiTheme="minorHAnsi" w:cstheme="minorHAnsi"/>
          <w:sz w:val="22"/>
          <w:szCs w:val="22"/>
        </w:rPr>
        <w:t xml:space="preserve">); a case study of a novel TB drug has been used in the remainder of this section </w:t>
      </w:r>
    </w:p>
    <w:p w:rsidR="0088136C" w:rsidRPr="006A55F0" w:rsidRDefault="0088136C" w:rsidP="00C55C86">
      <w:pPr>
        <w:pStyle w:val="BulletTex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6A55F0">
        <w:rPr>
          <w:rFonts w:asciiTheme="minorHAnsi" w:hAnsiTheme="minorHAnsi" w:cstheme="minorHAnsi"/>
          <w:sz w:val="22"/>
          <w:szCs w:val="22"/>
        </w:rPr>
        <w:lastRenderedPageBreak/>
        <w:t>the point at which the private sector partner is financially involved in the project (and hence what proportion of the development costs)</w:t>
      </w:r>
    </w:p>
    <w:p w:rsidR="0088136C" w:rsidRPr="006A55F0" w:rsidRDefault="0088136C" w:rsidP="00C55C86">
      <w:pPr>
        <w:pStyle w:val="BulletTex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6A55F0">
        <w:rPr>
          <w:rFonts w:asciiTheme="minorHAnsi" w:hAnsiTheme="minorHAnsi" w:cstheme="minorHAnsi"/>
          <w:sz w:val="22"/>
          <w:szCs w:val="22"/>
        </w:rPr>
        <w:t>the project development costs as a function of stage (such as Phase I, II and III) and time (see the Appendix for more details of standard drug development costs)</w:t>
      </w:r>
    </w:p>
    <w:p w:rsidR="0088136C" w:rsidRPr="006A55F0" w:rsidRDefault="0088136C" w:rsidP="00C55C86">
      <w:pPr>
        <w:pStyle w:val="BulletTex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6A55F0">
        <w:rPr>
          <w:rFonts w:asciiTheme="minorHAnsi" w:hAnsiTheme="minorHAnsi" w:cstheme="minorHAnsi"/>
          <w:sz w:val="22"/>
          <w:szCs w:val="22"/>
        </w:rPr>
        <w:t xml:space="preserve">the market volume and value for the product or services under developed (e.g. one million patients treated per year at a cost of </w:t>
      </w:r>
      <w:r>
        <w:rPr>
          <w:rFonts w:asciiTheme="minorHAnsi" w:hAnsiTheme="minorHAnsi" w:cstheme="minorHAnsi"/>
          <w:sz w:val="22"/>
          <w:szCs w:val="22"/>
        </w:rPr>
        <w:t>$28</w:t>
      </w:r>
      <w:r w:rsidRPr="006A55F0">
        <w:rPr>
          <w:rFonts w:asciiTheme="minorHAnsi" w:hAnsiTheme="minorHAnsi" w:cstheme="minorHAnsi"/>
          <w:sz w:val="22"/>
          <w:szCs w:val="22"/>
        </w:rPr>
        <w:t xml:space="preserve"> per patient)</w:t>
      </w:r>
    </w:p>
    <w:p w:rsidR="0088136C" w:rsidRPr="006A55F0" w:rsidRDefault="0088136C" w:rsidP="00C55C86">
      <w:pPr>
        <w:pStyle w:val="BulletTex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6A55F0">
        <w:rPr>
          <w:rFonts w:asciiTheme="minorHAnsi" w:hAnsiTheme="minorHAnsi" w:cstheme="minorHAnsi"/>
          <w:sz w:val="22"/>
          <w:szCs w:val="22"/>
        </w:rPr>
        <w:t>the gross margin for the product (revenue less cost of manufacture and marketing)</w:t>
      </w:r>
    </w:p>
    <w:p w:rsidR="0088136C" w:rsidRPr="006A55F0" w:rsidRDefault="0088136C" w:rsidP="00C55C86">
      <w:pPr>
        <w:pStyle w:val="BulletText"/>
        <w:spacing w:line="360" w:lineRule="auto"/>
        <w:rPr>
          <w:rFonts w:asciiTheme="minorHAnsi" w:hAnsiTheme="minorHAnsi" w:cstheme="minorHAnsi"/>
          <w:sz w:val="22"/>
          <w:szCs w:val="22"/>
        </w:rPr>
      </w:pPr>
      <w:proofErr w:type="gramStart"/>
      <w:r w:rsidRPr="006A55F0">
        <w:rPr>
          <w:rFonts w:asciiTheme="minorHAnsi" w:hAnsiTheme="minorHAnsi" w:cstheme="minorHAnsi"/>
          <w:sz w:val="22"/>
          <w:szCs w:val="22"/>
        </w:rPr>
        <w:t>the</w:t>
      </w:r>
      <w:proofErr w:type="gramEnd"/>
      <w:r w:rsidRPr="006A55F0">
        <w:rPr>
          <w:rFonts w:asciiTheme="minorHAnsi" w:hAnsiTheme="minorHAnsi" w:cstheme="minorHAnsi"/>
          <w:sz w:val="22"/>
          <w:szCs w:val="22"/>
        </w:rPr>
        <w:t xml:space="preserve"> product’s selling price (usually </w:t>
      </w:r>
      <w:r>
        <w:rPr>
          <w:rFonts w:asciiTheme="minorHAnsi" w:hAnsiTheme="minorHAnsi" w:cstheme="minorHAnsi"/>
          <w:sz w:val="22"/>
          <w:szCs w:val="22"/>
        </w:rPr>
        <w:t>$</w:t>
      </w:r>
      <w:r w:rsidRPr="006A55F0">
        <w:rPr>
          <w:rFonts w:asciiTheme="minorHAnsi" w:hAnsiTheme="minorHAnsi" w:cstheme="minorHAnsi"/>
          <w:sz w:val="22"/>
          <w:szCs w:val="22"/>
        </w:rPr>
        <w:t>/treatment cost).</w:t>
      </w:r>
    </w:p>
    <w:p w:rsidR="0088136C" w:rsidRPr="006A55F0" w:rsidRDefault="0088136C" w:rsidP="00C55C86">
      <w:pPr>
        <w:pStyle w:val="MainText"/>
        <w:spacing w:line="360" w:lineRule="auto"/>
        <w:rPr>
          <w:rFonts w:cstheme="minorHAnsi"/>
          <w:sz w:val="22"/>
          <w:szCs w:val="22"/>
        </w:rPr>
      </w:pPr>
    </w:p>
    <w:p w:rsidR="0088136C" w:rsidRPr="001C02C2" w:rsidRDefault="0088136C" w:rsidP="00C55C86">
      <w:pPr>
        <w:pStyle w:val="MainText"/>
        <w:spacing w:line="360" w:lineRule="auto"/>
        <w:rPr>
          <w:rFonts w:cstheme="minorHAnsi"/>
          <w:sz w:val="22"/>
          <w:szCs w:val="22"/>
        </w:rPr>
      </w:pPr>
      <w:r w:rsidRPr="006A55F0">
        <w:rPr>
          <w:rFonts w:cstheme="minorHAnsi"/>
          <w:sz w:val="22"/>
          <w:szCs w:val="22"/>
        </w:rPr>
        <w:t>The model assumes a market volume of 1·2 million patients at a treatment cost of $5·3 per patient. Peak revenues would be reached about 12 years after initiation of hit-to-lead optimisation, and would decline quickly after patent expiry (15 years from date of registration). The public sector licensee would receive an annual royalty of 10%, the discount rate applied is 8%, and a gross manufacturing margin of 50% would be realised. The success rates per stage as applied in the model were obtained from previously p</w:t>
      </w:r>
      <w:r w:rsidRPr="001C02C2">
        <w:rPr>
          <w:rFonts w:cstheme="minorHAnsi"/>
          <w:sz w:val="22"/>
          <w:szCs w:val="22"/>
        </w:rPr>
        <w:t>ublished data</w:t>
      </w:r>
      <w:r>
        <w:rPr>
          <w:rFonts w:cstheme="minorHAnsi"/>
          <w:sz w:val="22"/>
          <w:szCs w:val="22"/>
        </w:rPr>
        <w:t xml:space="preserve"> [14] [15] [</w:t>
      </w:r>
      <w:r w:rsidR="000F7010">
        <w:rPr>
          <w:rFonts w:cstheme="minorHAnsi"/>
          <w:sz w:val="22"/>
          <w:szCs w:val="22"/>
        </w:rPr>
        <w:t>37</w:t>
      </w:r>
      <w:bookmarkStart w:id="1" w:name="_GoBack"/>
      <w:bookmarkEnd w:id="1"/>
      <w:r>
        <w:rPr>
          <w:rFonts w:cstheme="minorHAnsi"/>
          <w:sz w:val="22"/>
          <w:szCs w:val="22"/>
        </w:rPr>
        <w:t>]</w:t>
      </w:r>
      <w:r w:rsidRPr="001C02C2">
        <w:rPr>
          <w:rFonts w:cstheme="minorHAnsi"/>
          <w:sz w:val="22"/>
          <w:szCs w:val="22"/>
        </w:rPr>
        <w:t>.</w:t>
      </w:r>
    </w:p>
    <w:p w:rsidR="00FE71E4" w:rsidRDefault="00FE71E4">
      <w:pPr>
        <w:spacing w:after="200" w:line="276" w:lineRule="auto"/>
        <w:jc w:val="left"/>
      </w:pPr>
      <w:r>
        <w:br w:type="page"/>
      </w:r>
    </w:p>
    <w:p w:rsidR="00FE71E4" w:rsidRPr="006A55F0" w:rsidRDefault="00FE71E4" w:rsidP="00FE71E4">
      <w:pPr>
        <w:pStyle w:val="Caption"/>
        <w:spacing w:line="360" w:lineRule="auto"/>
        <w:rPr>
          <w:rFonts w:asciiTheme="minorHAnsi" w:hAnsiTheme="minorHAnsi" w:cstheme="minorHAnsi"/>
          <w:szCs w:val="22"/>
          <w:lang w:val="en-ZA"/>
        </w:rPr>
      </w:pPr>
      <w:proofErr w:type="gramStart"/>
      <w:r w:rsidRPr="006A55F0">
        <w:rPr>
          <w:rFonts w:asciiTheme="minorHAnsi" w:hAnsiTheme="minorHAnsi" w:cstheme="minorHAnsi"/>
          <w:szCs w:val="22"/>
          <w:lang w:val="en-ZA"/>
        </w:rPr>
        <w:lastRenderedPageBreak/>
        <w:t xml:space="preserve">Table </w:t>
      </w:r>
      <w:r>
        <w:rPr>
          <w:rFonts w:asciiTheme="minorHAnsi" w:hAnsiTheme="minorHAnsi" w:cstheme="minorHAnsi"/>
          <w:szCs w:val="22"/>
          <w:lang w:val="en-ZA"/>
        </w:rPr>
        <w:t>2</w:t>
      </w:r>
      <w:r w:rsidRPr="006A55F0">
        <w:rPr>
          <w:rFonts w:asciiTheme="minorHAnsi" w:hAnsiTheme="minorHAnsi" w:cstheme="minorHAnsi"/>
          <w:szCs w:val="22"/>
          <w:lang w:val="en-ZA"/>
        </w:rPr>
        <w:t>.</w:t>
      </w:r>
      <w:proofErr w:type="gramEnd"/>
      <w:r w:rsidRPr="006A55F0">
        <w:rPr>
          <w:rFonts w:asciiTheme="minorHAnsi" w:hAnsiTheme="minorHAnsi" w:cstheme="minorHAnsi"/>
          <w:szCs w:val="22"/>
          <w:lang w:val="en-ZA"/>
        </w:rPr>
        <w:t xml:space="preserve"> South Africa’s Department of Health 2011/12 budget for TB treatment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678"/>
        <w:gridCol w:w="1417"/>
        <w:gridCol w:w="1418"/>
      </w:tblGrid>
      <w:tr w:rsidR="00FE71E4" w:rsidRPr="006A55F0" w:rsidTr="00F347F4">
        <w:tc>
          <w:tcPr>
            <w:tcW w:w="4678" w:type="dxa"/>
            <w:vAlign w:val="center"/>
          </w:tcPr>
          <w:p w:rsidR="00FE71E4" w:rsidRPr="006A55F0" w:rsidRDefault="00FE71E4" w:rsidP="00F347F4">
            <w:pPr>
              <w:pStyle w:val="MainText"/>
              <w:spacing w:line="360" w:lineRule="auto"/>
              <w:jc w:val="left"/>
              <w:rPr>
                <w:rFonts w:cstheme="minorHAnsi"/>
                <w:b/>
                <w:sz w:val="22"/>
                <w:szCs w:val="22"/>
              </w:rPr>
            </w:pPr>
            <w:r w:rsidRPr="006A55F0">
              <w:rPr>
                <w:rFonts w:cstheme="minorHAnsi"/>
                <w:b/>
                <w:sz w:val="22"/>
                <w:szCs w:val="22"/>
              </w:rPr>
              <w:t>Budget Item</w:t>
            </w:r>
          </w:p>
        </w:tc>
        <w:tc>
          <w:tcPr>
            <w:tcW w:w="1417" w:type="dxa"/>
            <w:vAlign w:val="center"/>
          </w:tcPr>
          <w:p w:rsidR="00FE71E4" w:rsidRPr="006A55F0" w:rsidRDefault="00FE71E4" w:rsidP="00F347F4">
            <w:pPr>
              <w:pStyle w:val="MainText"/>
              <w:spacing w:line="36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6A55F0">
              <w:rPr>
                <w:rFonts w:cstheme="minorHAnsi"/>
                <w:b/>
                <w:sz w:val="22"/>
                <w:szCs w:val="22"/>
              </w:rPr>
              <w:t xml:space="preserve">Amount </w:t>
            </w:r>
          </w:p>
          <w:p w:rsidR="00FE71E4" w:rsidRPr="006A55F0" w:rsidRDefault="00FE71E4" w:rsidP="00F347F4">
            <w:pPr>
              <w:pStyle w:val="MainText"/>
              <w:spacing w:line="36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6A55F0">
              <w:rPr>
                <w:rFonts w:cstheme="minorHAnsi"/>
                <w:b/>
                <w:sz w:val="22"/>
                <w:szCs w:val="22"/>
              </w:rPr>
              <w:t>(R million)</w:t>
            </w:r>
          </w:p>
        </w:tc>
        <w:tc>
          <w:tcPr>
            <w:tcW w:w="1418" w:type="dxa"/>
            <w:vAlign w:val="center"/>
          </w:tcPr>
          <w:p w:rsidR="00FE71E4" w:rsidRPr="006A55F0" w:rsidRDefault="00FE71E4" w:rsidP="00F347F4">
            <w:pPr>
              <w:pStyle w:val="MainText"/>
              <w:spacing w:line="36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6A55F0">
              <w:rPr>
                <w:rFonts w:cstheme="minorHAnsi"/>
                <w:b/>
                <w:sz w:val="22"/>
                <w:szCs w:val="22"/>
              </w:rPr>
              <w:t xml:space="preserve">Amount </w:t>
            </w:r>
          </w:p>
          <w:p w:rsidR="00FE71E4" w:rsidRPr="006A55F0" w:rsidRDefault="00FE71E4" w:rsidP="00F347F4">
            <w:pPr>
              <w:pStyle w:val="MainText"/>
              <w:spacing w:line="360" w:lineRule="auto"/>
              <w:jc w:val="center"/>
              <w:rPr>
                <w:rFonts w:cstheme="minorHAnsi"/>
                <w:b/>
                <w:sz w:val="22"/>
                <w:szCs w:val="22"/>
                <w:vertAlign w:val="superscript"/>
              </w:rPr>
            </w:pPr>
            <w:r w:rsidRPr="006A55F0">
              <w:rPr>
                <w:rFonts w:cstheme="minorHAnsi"/>
                <w:b/>
                <w:sz w:val="22"/>
                <w:szCs w:val="22"/>
              </w:rPr>
              <w:t>($ million)</w:t>
            </w:r>
            <w:r w:rsidRPr="006A55F0">
              <w:rPr>
                <w:rFonts w:cstheme="minorHAnsi"/>
                <w:b/>
                <w:sz w:val="22"/>
                <w:szCs w:val="22"/>
                <w:vertAlign w:val="superscript"/>
              </w:rPr>
              <w:t>*</w:t>
            </w:r>
          </w:p>
        </w:tc>
      </w:tr>
      <w:tr w:rsidR="00FE71E4" w:rsidRPr="006A55F0" w:rsidTr="00F347F4">
        <w:tc>
          <w:tcPr>
            <w:tcW w:w="4678" w:type="dxa"/>
            <w:vAlign w:val="center"/>
          </w:tcPr>
          <w:p w:rsidR="00FE71E4" w:rsidRPr="006A55F0" w:rsidRDefault="00FE71E4" w:rsidP="00F347F4">
            <w:pPr>
              <w:pStyle w:val="MainText"/>
              <w:spacing w:line="360" w:lineRule="auto"/>
              <w:jc w:val="left"/>
              <w:rPr>
                <w:rFonts w:cstheme="minorHAnsi"/>
                <w:sz w:val="22"/>
                <w:szCs w:val="22"/>
              </w:rPr>
            </w:pPr>
            <w:r w:rsidRPr="006A55F0">
              <w:rPr>
                <w:rFonts w:cstheme="minorHAnsi"/>
                <w:sz w:val="22"/>
                <w:szCs w:val="22"/>
              </w:rPr>
              <w:t>First line TB Drugs</w:t>
            </w:r>
          </w:p>
        </w:tc>
        <w:tc>
          <w:tcPr>
            <w:tcW w:w="1417" w:type="dxa"/>
            <w:vAlign w:val="center"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color w:val="000000"/>
                <w:sz w:val="22"/>
                <w:szCs w:val="22"/>
                <w:lang w:val="en-ZA"/>
              </w:rPr>
              <w:t>118</w:t>
            </w:r>
          </w:p>
        </w:tc>
        <w:tc>
          <w:tcPr>
            <w:tcW w:w="1418" w:type="dxa"/>
            <w:vAlign w:val="center"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color w:val="000000"/>
                <w:sz w:val="22"/>
                <w:szCs w:val="22"/>
                <w:lang w:val="en-ZA"/>
              </w:rPr>
              <w:t>14</w:t>
            </w:r>
          </w:p>
        </w:tc>
      </w:tr>
      <w:tr w:rsidR="00FE71E4" w:rsidRPr="006A55F0" w:rsidTr="00F347F4">
        <w:tc>
          <w:tcPr>
            <w:tcW w:w="4678" w:type="dxa"/>
            <w:vAlign w:val="center"/>
          </w:tcPr>
          <w:p w:rsidR="00FE71E4" w:rsidRPr="006A55F0" w:rsidRDefault="00FE71E4" w:rsidP="00F347F4">
            <w:pPr>
              <w:pStyle w:val="MainText"/>
              <w:spacing w:line="360" w:lineRule="auto"/>
              <w:jc w:val="left"/>
              <w:rPr>
                <w:rFonts w:cstheme="minorHAnsi"/>
                <w:sz w:val="22"/>
                <w:szCs w:val="22"/>
              </w:rPr>
            </w:pPr>
            <w:r w:rsidRPr="006A55F0">
              <w:rPr>
                <w:rFonts w:cstheme="minorHAnsi"/>
                <w:sz w:val="22"/>
                <w:szCs w:val="22"/>
              </w:rPr>
              <w:t>MDR TB Drugs</w:t>
            </w:r>
          </w:p>
        </w:tc>
        <w:tc>
          <w:tcPr>
            <w:tcW w:w="1417" w:type="dxa"/>
            <w:vAlign w:val="center"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color w:val="000000"/>
                <w:sz w:val="22"/>
                <w:szCs w:val="22"/>
                <w:lang w:val="en-ZA"/>
              </w:rPr>
              <w:t>2,120</w:t>
            </w:r>
          </w:p>
        </w:tc>
        <w:tc>
          <w:tcPr>
            <w:tcW w:w="1418" w:type="dxa"/>
            <w:vAlign w:val="center"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color w:val="000000"/>
                <w:sz w:val="22"/>
                <w:szCs w:val="22"/>
                <w:lang w:val="en-ZA"/>
              </w:rPr>
              <w:t>249</w:t>
            </w:r>
          </w:p>
        </w:tc>
      </w:tr>
      <w:tr w:rsidR="00FE71E4" w:rsidRPr="006A55F0" w:rsidTr="00F347F4">
        <w:tc>
          <w:tcPr>
            <w:tcW w:w="4678" w:type="dxa"/>
            <w:vAlign w:val="center"/>
          </w:tcPr>
          <w:p w:rsidR="00FE71E4" w:rsidRPr="006A55F0" w:rsidRDefault="00FE71E4" w:rsidP="00F347F4">
            <w:pPr>
              <w:pStyle w:val="MainText"/>
              <w:spacing w:line="360" w:lineRule="auto"/>
              <w:jc w:val="left"/>
              <w:rPr>
                <w:rFonts w:cstheme="minorHAnsi"/>
                <w:sz w:val="22"/>
                <w:szCs w:val="22"/>
              </w:rPr>
            </w:pPr>
            <w:r w:rsidRPr="006A55F0">
              <w:rPr>
                <w:rFonts w:cstheme="minorHAnsi"/>
                <w:sz w:val="22"/>
                <w:szCs w:val="22"/>
              </w:rPr>
              <w:t>TB Hospitalisation</w:t>
            </w:r>
          </w:p>
        </w:tc>
        <w:tc>
          <w:tcPr>
            <w:tcW w:w="1417" w:type="dxa"/>
            <w:vAlign w:val="center"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color w:val="000000"/>
                <w:sz w:val="22"/>
                <w:szCs w:val="22"/>
                <w:lang w:val="en-ZA"/>
              </w:rPr>
              <w:t>1, 60</w:t>
            </w:r>
          </w:p>
        </w:tc>
        <w:tc>
          <w:tcPr>
            <w:tcW w:w="1418" w:type="dxa"/>
            <w:vAlign w:val="center"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color w:val="000000"/>
                <w:sz w:val="22"/>
                <w:szCs w:val="22"/>
                <w:lang w:val="en-ZA"/>
              </w:rPr>
              <w:t>207</w:t>
            </w:r>
          </w:p>
        </w:tc>
      </w:tr>
      <w:tr w:rsidR="00FE71E4" w:rsidRPr="006A55F0" w:rsidTr="00F347F4">
        <w:tc>
          <w:tcPr>
            <w:tcW w:w="4678" w:type="dxa"/>
            <w:vAlign w:val="center"/>
          </w:tcPr>
          <w:p w:rsidR="00FE71E4" w:rsidRPr="006A55F0" w:rsidRDefault="00FE71E4" w:rsidP="00F347F4">
            <w:pPr>
              <w:pStyle w:val="MainText"/>
              <w:spacing w:line="360" w:lineRule="auto"/>
              <w:jc w:val="left"/>
              <w:rPr>
                <w:rFonts w:cstheme="minorHAnsi"/>
                <w:sz w:val="22"/>
                <w:szCs w:val="22"/>
              </w:rPr>
            </w:pPr>
            <w:r w:rsidRPr="006A55F0">
              <w:rPr>
                <w:rFonts w:cstheme="minorHAnsi"/>
                <w:sz w:val="22"/>
                <w:szCs w:val="22"/>
              </w:rPr>
              <w:t>Management and Supervision of TB Treatment</w:t>
            </w:r>
          </w:p>
        </w:tc>
        <w:tc>
          <w:tcPr>
            <w:tcW w:w="1417" w:type="dxa"/>
            <w:vAlign w:val="center"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color w:val="000000"/>
                <w:sz w:val="22"/>
                <w:szCs w:val="22"/>
                <w:lang w:val="en-ZA"/>
              </w:rPr>
              <w:t>335</w:t>
            </w:r>
          </w:p>
        </w:tc>
        <w:tc>
          <w:tcPr>
            <w:tcW w:w="1418" w:type="dxa"/>
            <w:vAlign w:val="center"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color w:val="000000"/>
                <w:sz w:val="22"/>
                <w:szCs w:val="22"/>
                <w:lang w:val="en-ZA"/>
              </w:rPr>
              <w:t>39</w:t>
            </w:r>
          </w:p>
        </w:tc>
      </w:tr>
      <w:tr w:rsidR="00FE71E4" w:rsidRPr="006A55F0" w:rsidTr="00F347F4">
        <w:tc>
          <w:tcPr>
            <w:tcW w:w="4678" w:type="dxa"/>
            <w:vAlign w:val="center"/>
          </w:tcPr>
          <w:p w:rsidR="00FE71E4" w:rsidRPr="006A55F0" w:rsidRDefault="00FE71E4" w:rsidP="00F347F4">
            <w:pPr>
              <w:pStyle w:val="MainText"/>
              <w:spacing w:line="360" w:lineRule="auto"/>
              <w:jc w:val="left"/>
              <w:rPr>
                <w:rFonts w:cstheme="minorHAnsi"/>
                <w:sz w:val="22"/>
                <w:szCs w:val="22"/>
              </w:rPr>
            </w:pPr>
            <w:r w:rsidRPr="006A55F0">
              <w:rPr>
                <w:rFonts w:cstheme="minorHAnsi"/>
                <w:sz w:val="22"/>
                <w:szCs w:val="22"/>
              </w:rPr>
              <w:t>TB Laboratory Support</w:t>
            </w:r>
          </w:p>
        </w:tc>
        <w:tc>
          <w:tcPr>
            <w:tcW w:w="1417" w:type="dxa"/>
            <w:vAlign w:val="center"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color w:val="000000"/>
                <w:sz w:val="22"/>
                <w:szCs w:val="22"/>
                <w:lang w:val="en-ZA"/>
              </w:rPr>
              <w:t>356</w:t>
            </w:r>
          </w:p>
        </w:tc>
        <w:tc>
          <w:tcPr>
            <w:tcW w:w="1418" w:type="dxa"/>
            <w:vAlign w:val="center"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color w:val="000000"/>
                <w:sz w:val="22"/>
                <w:szCs w:val="22"/>
                <w:lang w:val="en-ZA"/>
              </w:rPr>
              <w:t>42</w:t>
            </w:r>
          </w:p>
        </w:tc>
      </w:tr>
      <w:tr w:rsidR="00FE71E4" w:rsidRPr="006A55F0" w:rsidTr="00F347F4">
        <w:tc>
          <w:tcPr>
            <w:tcW w:w="4678" w:type="dxa"/>
            <w:vAlign w:val="center"/>
          </w:tcPr>
          <w:p w:rsidR="00FE71E4" w:rsidRPr="006A55F0" w:rsidRDefault="00FE71E4" w:rsidP="00F347F4">
            <w:pPr>
              <w:pStyle w:val="MainText"/>
              <w:spacing w:line="360" w:lineRule="auto"/>
              <w:jc w:val="left"/>
              <w:rPr>
                <w:rFonts w:cstheme="minorHAnsi"/>
                <w:sz w:val="22"/>
                <w:szCs w:val="22"/>
              </w:rPr>
            </w:pPr>
            <w:r w:rsidRPr="006A55F0">
              <w:rPr>
                <w:rFonts w:cstheme="minorHAnsi"/>
                <w:sz w:val="22"/>
                <w:szCs w:val="22"/>
              </w:rPr>
              <w:t>Outpatient Visits</w:t>
            </w:r>
          </w:p>
        </w:tc>
        <w:tc>
          <w:tcPr>
            <w:tcW w:w="1417" w:type="dxa"/>
            <w:vAlign w:val="center"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color w:val="000000"/>
                <w:sz w:val="22"/>
                <w:szCs w:val="22"/>
                <w:lang w:val="en-ZA"/>
              </w:rPr>
              <w:t>276</w:t>
            </w:r>
          </w:p>
        </w:tc>
        <w:tc>
          <w:tcPr>
            <w:tcW w:w="1418" w:type="dxa"/>
            <w:vAlign w:val="center"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color w:val="000000"/>
                <w:sz w:val="22"/>
                <w:szCs w:val="22"/>
                <w:lang w:val="en-ZA"/>
              </w:rPr>
              <w:t>32</w:t>
            </w:r>
          </w:p>
        </w:tc>
      </w:tr>
      <w:tr w:rsidR="00FE71E4" w:rsidRPr="006A55F0" w:rsidTr="00F347F4">
        <w:tc>
          <w:tcPr>
            <w:tcW w:w="4678" w:type="dxa"/>
            <w:vAlign w:val="center"/>
          </w:tcPr>
          <w:p w:rsidR="00FE71E4" w:rsidRPr="006A55F0" w:rsidRDefault="00FE71E4" w:rsidP="00F347F4">
            <w:pPr>
              <w:pStyle w:val="MainText"/>
              <w:spacing w:line="360" w:lineRule="auto"/>
              <w:jc w:val="left"/>
              <w:rPr>
                <w:rFonts w:cstheme="minorHAnsi"/>
                <w:sz w:val="22"/>
                <w:szCs w:val="22"/>
              </w:rPr>
            </w:pPr>
            <w:r w:rsidRPr="006A55F0">
              <w:rPr>
                <w:rFonts w:cstheme="minorHAnsi"/>
                <w:sz w:val="22"/>
                <w:szCs w:val="22"/>
              </w:rPr>
              <w:t>Other</w:t>
            </w:r>
          </w:p>
        </w:tc>
        <w:tc>
          <w:tcPr>
            <w:tcW w:w="1417" w:type="dxa"/>
            <w:vAlign w:val="center"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color w:val="000000"/>
                <w:sz w:val="22"/>
                <w:szCs w:val="22"/>
                <w:lang w:val="en-ZA"/>
              </w:rPr>
              <w:t>465</w:t>
            </w:r>
          </w:p>
        </w:tc>
        <w:tc>
          <w:tcPr>
            <w:tcW w:w="1418" w:type="dxa"/>
            <w:vAlign w:val="center"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color w:val="000000"/>
                <w:sz w:val="22"/>
                <w:szCs w:val="22"/>
                <w:lang w:val="en-ZA"/>
              </w:rPr>
              <w:t>55</w:t>
            </w:r>
          </w:p>
        </w:tc>
      </w:tr>
      <w:tr w:rsidR="00FE71E4" w:rsidRPr="006A55F0" w:rsidTr="00F347F4">
        <w:tc>
          <w:tcPr>
            <w:tcW w:w="4678" w:type="dxa"/>
            <w:vAlign w:val="center"/>
          </w:tcPr>
          <w:p w:rsidR="00FE71E4" w:rsidRPr="006A55F0" w:rsidRDefault="00FE71E4" w:rsidP="00F347F4">
            <w:pPr>
              <w:pStyle w:val="MainText"/>
              <w:spacing w:line="360" w:lineRule="auto"/>
              <w:jc w:val="left"/>
              <w:rPr>
                <w:rFonts w:cstheme="minorHAnsi"/>
                <w:b/>
                <w:sz w:val="22"/>
                <w:szCs w:val="22"/>
              </w:rPr>
            </w:pPr>
            <w:r w:rsidRPr="006A55F0">
              <w:rPr>
                <w:rFonts w:cstheme="minorHAnsi"/>
                <w:b/>
                <w:sz w:val="22"/>
                <w:szCs w:val="22"/>
              </w:rPr>
              <w:t>Total</w:t>
            </w:r>
          </w:p>
        </w:tc>
        <w:tc>
          <w:tcPr>
            <w:tcW w:w="1417" w:type="dxa"/>
            <w:vAlign w:val="center"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ZA"/>
              </w:rPr>
              <w:t>4,965</w:t>
            </w:r>
          </w:p>
        </w:tc>
        <w:tc>
          <w:tcPr>
            <w:tcW w:w="1418" w:type="dxa"/>
            <w:vAlign w:val="center"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en-ZA"/>
              </w:rPr>
              <w:t>584</w:t>
            </w:r>
          </w:p>
        </w:tc>
      </w:tr>
    </w:tbl>
    <w:p w:rsidR="00FE71E4" w:rsidRDefault="00FE71E4" w:rsidP="00FE71E4">
      <w:pPr>
        <w:pStyle w:val="MainText"/>
        <w:spacing w:line="360" w:lineRule="auto"/>
        <w:rPr>
          <w:rFonts w:cstheme="minorHAnsi"/>
          <w:sz w:val="22"/>
          <w:szCs w:val="22"/>
        </w:rPr>
      </w:pPr>
    </w:p>
    <w:p w:rsidR="00FE71E4" w:rsidRPr="006A55F0" w:rsidRDefault="00FE71E4" w:rsidP="00FE71E4">
      <w:pPr>
        <w:pStyle w:val="MainText"/>
        <w:spacing w:line="360" w:lineRule="auto"/>
        <w:rPr>
          <w:rFonts w:cstheme="minorHAnsi"/>
          <w:sz w:val="22"/>
          <w:szCs w:val="22"/>
        </w:rPr>
      </w:pPr>
      <w:r w:rsidRPr="006A55F0">
        <w:rPr>
          <w:rFonts w:cstheme="minorHAnsi"/>
          <w:sz w:val="22"/>
          <w:szCs w:val="22"/>
        </w:rPr>
        <w:t>*$1 = R8.5 (June 2012)</w:t>
      </w:r>
    </w:p>
    <w:p w:rsidR="00FE71E4" w:rsidRPr="006A55F0" w:rsidRDefault="00FE71E4" w:rsidP="00FE71E4">
      <w:pPr>
        <w:spacing w:line="360" w:lineRule="auto"/>
        <w:rPr>
          <w:rFonts w:asciiTheme="minorHAnsi" w:hAnsiTheme="minorHAnsi" w:cstheme="minorHAnsi"/>
          <w:sz w:val="22"/>
          <w:szCs w:val="22"/>
          <w:vertAlign w:val="superscript"/>
          <w:lang w:val="en-ZA"/>
        </w:rPr>
      </w:pPr>
      <w:r w:rsidRPr="006A55F0">
        <w:rPr>
          <w:rFonts w:asciiTheme="minorHAnsi" w:hAnsiTheme="minorHAnsi" w:cstheme="minorHAnsi"/>
          <w:sz w:val="22"/>
          <w:szCs w:val="22"/>
          <w:lang w:val="en-ZA"/>
        </w:rPr>
        <w:t xml:space="preserve">Source: </w:t>
      </w:r>
      <w:proofErr w:type="spellStart"/>
      <w:r w:rsidRPr="006A55F0">
        <w:rPr>
          <w:rFonts w:asciiTheme="minorHAnsi" w:hAnsiTheme="minorHAnsi" w:cstheme="minorHAnsi"/>
          <w:sz w:val="22"/>
          <w:szCs w:val="22"/>
          <w:lang w:val="en-ZA"/>
        </w:rPr>
        <w:t>DoH</w:t>
      </w:r>
      <w:proofErr w:type="spellEnd"/>
      <w:r w:rsidRPr="006A55F0">
        <w:rPr>
          <w:rFonts w:asciiTheme="minorHAnsi" w:hAnsiTheme="minorHAnsi" w:cstheme="minorHAnsi"/>
          <w:sz w:val="22"/>
          <w:szCs w:val="22"/>
          <w:lang w:val="en-ZA"/>
        </w:rPr>
        <w:t xml:space="preserve"> [3]</w:t>
      </w:r>
    </w:p>
    <w:p w:rsidR="00FE71E4" w:rsidRPr="006A55F0" w:rsidRDefault="00FE71E4" w:rsidP="00FE71E4">
      <w:pPr>
        <w:pStyle w:val="MainText"/>
        <w:spacing w:line="360" w:lineRule="auto"/>
        <w:rPr>
          <w:rFonts w:cstheme="minorHAnsi"/>
          <w:sz w:val="22"/>
          <w:szCs w:val="22"/>
        </w:rPr>
      </w:pPr>
    </w:p>
    <w:p w:rsidR="00FE71E4" w:rsidRPr="006A55F0" w:rsidRDefault="00FE71E4" w:rsidP="00FE71E4">
      <w:pPr>
        <w:pStyle w:val="Caption"/>
        <w:spacing w:line="360" w:lineRule="auto"/>
        <w:rPr>
          <w:rFonts w:asciiTheme="minorHAnsi" w:hAnsiTheme="minorHAnsi" w:cstheme="minorHAnsi"/>
          <w:szCs w:val="22"/>
          <w:lang w:val="en-ZA"/>
        </w:rPr>
      </w:pPr>
      <w:bookmarkStart w:id="2" w:name="_Ref319065174"/>
      <w:proofErr w:type="gramStart"/>
      <w:r w:rsidRPr="006A55F0">
        <w:rPr>
          <w:rFonts w:asciiTheme="minorHAnsi" w:hAnsiTheme="minorHAnsi" w:cstheme="minorHAnsi"/>
          <w:szCs w:val="22"/>
          <w:lang w:val="en-ZA"/>
        </w:rPr>
        <w:t xml:space="preserve">Table </w:t>
      </w:r>
      <w:bookmarkEnd w:id="2"/>
      <w:r>
        <w:rPr>
          <w:rFonts w:asciiTheme="minorHAnsi" w:hAnsiTheme="minorHAnsi" w:cstheme="minorHAnsi"/>
          <w:szCs w:val="22"/>
          <w:lang w:val="en-ZA"/>
        </w:rPr>
        <w:t>3</w:t>
      </w:r>
      <w:r w:rsidRPr="006A55F0">
        <w:rPr>
          <w:rFonts w:asciiTheme="minorHAnsi" w:hAnsiTheme="minorHAnsi" w:cstheme="minorHAnsi"/>
          <w:szCs w:val="22"/>
          <w:lang w:val="en-ZA"/>
        </w:rPr>
        <w:t>.</w:t>
      </w:r>
      <w:proofErr w:type="gramEnd"/>
      <w:r w:rsidRPr="006A55F0">
        <w:rPr>
          <w:rFonts w:asciiTheme="minorHAnsi" w:hAnsiTheme="minorHAnsi" w:cstheme="minorHAnsi"/>
          <w:szCs w:val="22"/>
          <w:lang w:val="en-ZA"/>
        </w:rPr>
        <w:t xml:space="preserve"> TB statistics for South Africa (2010)</w:t>
      </w:r>
    </w:p>
    <w:tbl>
      <w:tblPr>
        <w:tblStyle w:val="TableGrid"/>
        <w:tblW w:w="9071" w:type="dxa"/>
        <w:tblInd w:w="108" w:type="dxa"/>
        <w:tblLook w:val="04A0" w:firstRow="1" w:lastRow="0" w:firstColumn="1" w:lastColumn="0" w:noHBand="0" w:noVBand="1"/>
      </w:tblPr>
      <w:tblGrid>
        <w:gridCol w:w="3969"/>
        <w:gridCol w:w="2126"/>
        <w:gridCol w:w="2976"/>
      </w:tblGrid>
      <w:tr w:rsidR="00FE71E4" w:rsidRPr="006A55F0" w:rsidTr="00F347F4">
        <w:tc>
          <w:tcPr>
            <w:tcW w:w="3969" w:type="dxa"/>
          </w:tcPr>
          <w:p w:rsidR="00FE71E4" w:rsidRPr="006A55F0" w:rsidRDefault="00FE71E4" w:rsidP="00F347F4">
            <w:pPr>
              <w:spacing w:line="360" w:lineRule="auto"/>
              <w:jc w:val="left"/>
              <w:rPr>
                <w:rFonts w:asciiTheme="minorHAnsi" w:hAnsiTheme="minorHAnsi" w:cstheme="minorHAnsi"/>
                <w:b/>
                <w:sz w:val="22"/>
                <w:szCs w:val="22"/>
                <w:lang w:val="en-ZA"/>
              </w:rPr>
            </w:pPr>
          </w:p>
        </w:tc>
        <w:tc>
          <w:tcPr>
            <w:tcW w:w="2126" w:type="dxa"/>
            <w:vAlign w:val="center"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b/>
                <w:sz w:val="22"/>
                <w:szCs w:val="22"/>
                <w:lang w:val="en-ZA"/>
              </w:rPr>
              <w:t>Total Number</w:t>
            </w:r>
          </w:p>
        </w:tc>
        <w:tc>
          <w:tcPr>
            <w:tcW w:w="2976" w:type="dxa"/>
            <w:vAlign w:val="center"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b/>
                <w:sz w:val="22"/>
                <w:szCs w:val="22"/>
                <w:lang w:val="en-ZA"/>
              </w:rPr>
              <w:t xml:space="preserve">Rate </w:t>
            </w:r>
          </w:p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b/>
                <w:sz w:val="22"/>
                <w:szCs w:val="22"/>
                <w:lang w:val="en-ZA"/>
              </w:rPr>
              <w:t>(per 100,000 population)</w:t>
            </w:r>
          </w:p>
        </w:tc>
      </w:tr>
      <w:tr w:rsidR="00FE71E4" w:rsidRPr="006A55F0" w:rsidTr="00F347F4">
        <w:tc>
          <w:tcPr>
            <w:tcW w:w="3969" w:type="dxa"/>
          </w:tcPr>
          <w:p w:rsidR="00FE71E4" w:rsidRPr="006A55F0" w:rsidRDefault="00FE71E4" w:rsidP="00F347F4">
            <w:pPr>
              <w:spacing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Mortality (excluding HIV)</w:t>
            </w:r>
          </w:p>
        </w:tc>
        <w:tc>
          <w:tcPr>
            <w:tcW w:w="2126" w:type="dxa"/>
            <w:vAlign w:val="center"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25,000</w:t>
            </w:r>
          </w:p>
        </w:tc>
        <w:tc>
          <w:tcPr>
            <w:tcW w:w="2976" w:type="dxa"/>
            <w:vAlign w:val="center"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50</w:t>
            </w:r>
          </w:p>
        </w:tc>
      </w:tr>
      <w:tr w:rsidR="00FE71E4" w:rsidRPr="006A55F0" w:rsidTr="00F347F4">
        <w:tc>
          <w:tcPr>
            <w:tcW w:w="3969" w:type="dxa"/>
          </w:tcPr>
          <w:p w:rsidR="00FE71E4" w:rsidRPr="006A55F0" w:rsidRDefault="00FE71E4" w:rsidP="00F347F4">
            <w:pPr>
              <w:spacing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Mortality (including TB/HIV co-morbidity)</w:t>
            </w:r>
          </w:p>
        </w:tc>
        <w:tc>
          <w:tcPr>
            <w:tcW w:w="2126" w:type="dxa"/>
            <w:vAlign w:val="center"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48,000</w:t>
            </w:r>
          </w:p>
        </w:tc>
        <w:tc>
          <w:tcPr>
            <w:tcW w:w="2976" w:type="dxa"/>
            <w:vAlign w:val="center"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96</w:t>
            </w:r>
          </w:p>
        </w:tc>
      </w:tr>
      <w:tr w:rsidR="00FE71E4" w:rsidRPr="006A55F0" w:rsidTr="00F347F4">
        <w:tc>
          <w:tcPr>
            <w:tcW w:w="3969" w:type="dxa"/>
          </w:tcPr>
          <w:p w:rsidR="00FE71E4" w:rsidRPr="006A55F0" w:rsidRDefault="00FE71E4" w:rsidP="00F347F4">
            <w:pPr>
              <w:spacing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Prevalence</w:t>
            </w:r>
          </w:p>
        </w:tc>
        <w:tc>
          <w:tcPr>
            <w:tcW w:w="2126" w:type="dxa"/>
            <w:vAlign w:val="center"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400,000</w:t>
            </w:r>
          </w:p>
        </w:tc>
        <w:tc>
          <w:tcPr>
            <w:tcW w:w="2976" w:type="dxa"/>
            <w:vAlign w:val="center"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795</w:t>
            </w:r>
          </w:p>
        </w:tc>
      </w:tr>
      <w:tr w:rsidR="00FE71E4" w:rsidRPr="006A55F0" w:rsidTr="00F347F4">
        <w:tc>
          <w:tcPr>
            <w:tcW w:w="3969" w:type="dxa"/>
          </w:tcPr>
          <w:p w:rsidR="00FE71E4" w:rsidRPr="006A55F0" w:rsidRDefault="00FE71E4" w:rsidP="00F347F4">
            <w:pPr>
              <w:spacing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Incidence (including HIV)</w:t>
            </w:r>
          </w:p>
        </w:tc>
        <w:tc>
          <w:tcPr>
            <w:tcW w:w="2126" w:type="dxa"/>
            <w:vAlign w:val="center"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490,000</w:t>
            </w:r>
          </w:p>
        </w:tc>
        <w:tc>
          <w:tcPr>
            <w:tcW w:w="2976" w:type="dxa"/>
            <w:vAlign w:val="center"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981</w:t>
            </w:r>
          </w:p>
        </w:tc>
      </w:tr>
      <w:tr w:rsidR="00FE71E4" w:rsidRPr="006A55F0" w:rsidTr="00F347F4">
        <w:tc>
          <w:tcPr>
            <w:tcW w:w="3969" w:type="dxa"/>
          </w:tcPr>
          <w:p w:rsidR="00FE71E4" w:rsidRPr="006A55F0" w:rsidRDefault="00FE71E4" w:rsidP="00F347F4">
            <w:pPr>
              <w:spacing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Incidence (TB only)</w:t>
            </w:r>
          </w:p>
        </w:tc>
        <w:tc>
          <w:tcPr>
            <w:tcW w:w="2126" w:type="dxa"/>
            <w:vAlign w:val="center"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300,000</w:t>
            </w:r>
          </w:p>
        </w:tc>
        <w:tc>
          <w:tcPr>
            <w:tcW w:w="2976" w:type="dxa"/>
            <w:vAlign w:val="center"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591</w:t>
            </w:r>
          </w:p>
        </w:tc>
      </w:tr>
      <w:tr w:rsidR="00FE71E4" w:rsidRPr="006A55F0" w:rsidTr="00F347F4">
        <w:tc>
          <w:tcPr>
            <w:tcW w:w="3969" w:type="dxa"/>
          </w:tcPr>
          <w:p w:rsidR="00FE71E4" w:rsidRPr="006A55F0" w:rsidRDefault="00FE71E4" w:rsidP="00F347F4">
            <w:pPr>
              <w:spacing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HIV Incidence</w:t>
            </w:r>
          </w:p>
        </w:tc>
        <w:tc>
          <w:tcPr>
            <w:tcW w:w="5102" w:type="dxa"/>
            <w:gridSpan w:val="2"/>
            <w:vAlign w:val="center"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60% of TB patients are HIV positive</w:t>
            </w:r>
          </w:p>
        </w:tc>
      </w:tr>
      <w:tr w:rsidR="00FE71E4" w:rsidRPr="006A55F0" w:rsidTr="00F347F4">
        <w:tc>
          <w:tcPr>
            <w:tcW w:w="3969" w:type="dxa"/>
          </w:tcPr>
          <w:p w:rsidR="00FE71E4" w:rsidRPr="006A55F0" w:rsidRDefault="00FE71E4" w:rsidP="00F347F4">
            <w:pPr>
              <w:spacing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 xml:space="preserve">Completion Rate </w:t>
            </w:r>
          </w:p>
        </w:tc>
        <w:tc>
          <w:tcPr>
            <w:tcW w:w="5102" w:type="dxa"/>
            <w:gridSpan w:val="2"/>
            <w:vAlign w:val="center"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73% of new smear positive cases</w:t>
            </w:r>
          </w:p>
        </w:tc>
      </w:tr>
      <w:tr w:rsidR="00FE71E4" w:rsidRPr="006A55F0" w:rsidTr="00F347F4">
        <w:tc>
          <w:tcPr>
            <w:tcW w:w="3969" w:type="dxa"/>
          </w:tcPr>
          <w:p w:rsidR="00FE71E4" w:rsidRPr="006A55F0" w:rsidRDefault="00FE71E4" w:rsidP="00F347F4">
            <w:pPr>
              <w:spacing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Case Detection</w:t>
            </w:r>
          </w:p>
        </w:tc>
        <w:tc>
          <w:tcPr>
            <w:tcW w:w="5102" w:type="dxa"/>
            <w:gridSpan w:val="2"/>
            <w:vAlign w:val="center"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72% of total cases</w:t>
            </w:r>
          </w:p>
        </w:tc>
      </w:tr>
    </w:tbl>
    <w:p w:rsidR="00FE71E4" w:rsidRPr="006A55F0" w:rsidRDefault="00FE71E4" w:rsidP="00FE71E4">
      <w:pPr>
        <w:spacing w:line="360" w:lineRule="auto"/>
        <w:rPr>
          <w:rFonts w:asciiTheme="minorHAnsi" w:hAnsiTheme="minorHAnsi" w:cstheme="minorHAnsi"/>
          <w:sz w:val="22"/>
          <w:szCs w:val="22"/>
          <w:lang w:val="en-ZA"/>
        </w:rPr>
      </w:pPr>
    </w:p>
    <w:p w:rsidR="00FE71E4" w:rsidRPr="006A55F0" w:rsidRDefault="00FE71E4" w:rsidP="00FE71E4">
      <w:pPr>
        <w:spacing w:line="360" w:lineRule="auto"/>
        <w:rPr>
          <w:rFonts w:asciiTheme="minorHAnsi" w:hAnsiTheme="minorHAnsi" w:cstheme="minorHAnsi"/>
          <w:sz w:val="22"/>
          <w:szCs w:val="22"/>
          <w:vertAlign w:val="superscript"/>
          <w:lang w:val="en-ZA"/>
        </w:rPr>
      </w:pPr>
      <w:r w:rsidRPr="006A55F0">
        <w:rPr>
          <w:rFonts w:asciiTheme="minorHAnsi" w:hAnsiTheme="minorHAnsi" w:cstheme="minorHAnsi"/>
          <w:sz w:val="22"/>
          <w:szCs w:val="22"/>
          <w:lang w:val="en-ZA"/>
        </w:rPr>
        <w:t>Source: WHO [1]</w:t>
      </w:r>
    </w:p>
    <w:p w:rsidR="00FE71E4" w:rsidRDefault="00FE71E4" w:rsidP="00FE71E4"/>
    <w:p w:rsidR="00FE71E4" w:rsidRDefault="00FE71E4">
      <w:pPr>
        <w:spacing w:after="200" w:line="276" w:lineRule="auto"/>
        <w:jc w:val="left"/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ZA"/>
        </w:rPr>
      </w:pPr>
      <w:bookmarkStart w:id="3" w:name="_Ref327164793"/>
      <w:r>
        <w:rPr>
          <w:rFonts w:asciiTheme="minorHAnsi" w:hAnsiTheme="minorHAnsi" w:cstheme="minorHAnsi"/>
          <w:szCs w:val="22"/>
          <w:lang w:val="en-ZA"/>
        </w:rPr>
        <w:br w:type="page"/>
      </w:r>
    </w:p>
    <w:p w:rsidR="00FE71E4" w:rsidRPr="006A55F0" w:rsidRDefault="00FE71E4" w:rsidP="00FE71E4">
      <w:pPr>
        <w:pStyle w:val="Caption"/>
        <w:spacing w:line="360" w:lineRule="auto"/>
        <w:rPr>
          <w:rFonts w:asciiTheme="minorHAnsi" w:hAnsiTheme="minorHAnsi" w:cstheme="minorHAnsi"/>
          <w:szCs w:val="22"/>
          <w:lang w:val="en-ZA"/>
        </w:rPr>
      </w:pPr>
      <w:proofErr w:type="gramStart"/>
      <w:r w:rsidRPr="006A55F0">
        <w:rPr>
          <w:rFonts w:asciiTheme="minorHAnsi" w:hAnsiTheme="minorHAnsi" w:cstheme="minorHAnsi"/>
          <w:szCs w:val="22"/>
          <w:lang w:val="en-ZA"/>
        </w:rPr>
        <w:lastRenderedPageBreak/>
        <w:t xml:space="preserve">Table </w:t>
      </w:r>
      <w:bookmarkEnd w:id="3"/>
      <w:r>
        <w:rPr>
          <w:rFonts w:asciiTheme="minorHAnsi" w:hAnsiTheme="minorHAnsi" w:cstheme="minorHAnsi"/>
          <w:szCs w:val="22"/>
          <w:lang w:val="en-ZA"/>
        </w:rPr>
        <w:t>4</w:t>
      </w:r>
      <w:r w:rsidRPr="006A55F0">
        <w:rPr>
          <w:rFonts w:asciiTheme="minorHAnsi" w:hAnsiTheme="minorHAnsi" w:cstheme="minorHAnsi"/>
          <w:szCs w:val="22"/>
          <w:lang w:val="en-ZA"/>
        </w:rPr>
        <w:t>.</w:t>
      </w:r>
      <w:proofErr w:type="gramEnd"/>
      <w:r w:rsidRPr="006A55F0">
        <w:rPr>
          <w:rFonts w:asciiTheme="minorHAnsi" w:hAnsiTheme="minorHAnsi" w:cstheme="minorHAnsi"/>
          <w:szCs w:val="22"/>
          <w:lang w:val="en-ZA"/>
        </w:rPr>
        <w:t xml:space="preserve"> Stage costs and duration for investigational compounds </w:t>
      </w: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275"/>
        <w:gridCol w:w="1134"/>
        <w:gridCol w:w="1134"/>
        <w:gridCol w:w="1560"/>
        <w:gridCol w:w="1984"/>
      </w:tblGrid>
      <w:tr w:rsidR="00FE71E4" w:rsidRPr="006A55F0" w:rsidTr="00F347F4">
        <w:trPr>
          <w:trHeight w:val="255"/>
        </w:trPr>
        <w:tc>
          <w:tcPr>
            <w:tcW w:w="1560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jc w:val="left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ZA" w:eastAsia="en-GB"/>
              </w:rPr>
            </w:pPr>
            <w:r w:rsidRPr="006A55F0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ZA" w:eastAsia="en-GB"/>
              </w:rPr>
              <w:t>Phase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FE71E4" w:rsidRDefault="00FE71E4" w:rsidP="00F347F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ZA" w:eastAsia="en-GB"/>
              </w:rPr>
            </w:pPr>
            <w:r w:rsidRPr="006A55F0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ZA" w:eastAsia="en-GB"/>
              </w:rPr>
              <w:t xml:space="preserve">Costs </w:t>
            </w:r>
          </w:p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ZA" w:eastAsia="en-GB"/>
              </w:rPr>
            </w:pPr>
            <w:r w:rsidRPr="006A55F0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ZA" w:eastAsia="en-GB"/>
              </w:rPr>
              <w:t>($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ZA" w:eastAsia="en-GB"/>
              </w:rPr>
              <w:t xml:space="preserve"> million</w:t>
            </w:r>
            <w:r w:rsidRPr="006A55F0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ZA" w:eastAsia="en-GB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ZA" w:eastAsia="en-GB"/>
              </w:rPr>
            </w:pPr>
            <w:r w:rsidRPr="006A55F0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ZA" w:eastAsia="en-GB"/>
              </w:rPr>
              <w:t>Duration (years)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ZA" w:eastAsia="en-GB"/>
              </w:rPr>
            </w:pPr>
            <w:r w:rsidRPr="006A55F0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ZA" w:eastAsia="en-GB"/>
              </w:rPr>
              <w:t>Success Rate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ZA" w:eastAsia="en-GB"/>
              </w:rPr>
            </w:pPr>
            <w:r w:rsidRPr="006A55F0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ZA" w:eastAsia="en-GB"/>
              </w:rPr>
              <w:t>Adjusted Cost</w:t>
            </w:r>
          </w:p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ZA" w:eastAsia="en-GB"/>
              </w:rPr>
            </w:pPr>
            <w:r w:rsidRPr="006A55F0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ZA" w:eastAsia="en-GB"/>
              </w:rPr>
              <w:t>($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ZA" w:eastAsia="en-GB"/>
              </w:rPr>
              <w:t xml:space="preserve"> million</w:t>
            </w:r>
            <w:r w:rsidRPr="006A55F0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ZA" w:eastAsia="en-GB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ZA" w:eastAsia="en-GB"/>
              </w:rPr>
            </w:pPr>
            <w:r w:rsidRPr="006A55F0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ZA" w:eastAsia="en-GB"/>
              </w:rPr>
              <w:t>Cumulative Future Value</w:t>
            </w:r>
          </w:p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ZA" w:eastAsia="en-GB"/>
              </w:rPr>
            </w:pPr>
            <w:r w:rsidRPr="006A55F0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ZA" w:eastAsia="en-GB"/>
              </w:rPr>
              <w:t>($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ZA" w:eastAsia="en-GB"/>
              </w:rPr>
              <w:t xml:space="preserve"> million</w:t>
            </w:r>
            <w:r w:rsidRPr="006A55F0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ZA" w:eastAsia="en-GB"/>
              </w:rPr>
              <w:t>)</w:t>
            </w:r>
          </w:p>
        </w:tc>
      </w:tr>
      <w:tr w:rsidR="00FE71E4" w:rsidRPr="006A55F0" w:rsidTr="00F347F4">
        <w:trPr>
          <w:trHeight w:val="255"/>
        </w:trPr>
        <w:tc>
          <w:tcPr>
            <w:tcW w:w="1560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 w:rsidRPr="006A55F0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Hit Generation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ind w:right="33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0·5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 w:rsidRPr="006A55F0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 w:rsidRPr="006A55F0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3%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ind w:right="176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20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ind w:right="176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20</w:t>
            </w:r>
          </w:p>
        </w:tc>
      </w:tr>
      <w:tr w:rsidR="00FE71E4" w:rsidRPr="006A55F0" w:rsidTr="00F347F4">
        <w:trPr>
          <w:trHeight w:val="255"/>
        </w:trPr>
        <w:tc>
          <w:tcPr>
            <w:tcW w:w="1560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 w:rsidRPr="006A55F0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Hit to Lead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ind w:right="33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 w:rsidRPr="006A55F0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 w:rsidRPr="006A55F0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5%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ind w:right="176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20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ind w:right="176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41·6</w:t>
            </w:r>
          </w:p>
        </w:tc>
      </w:tr>
      <w:tr w:rsidR="00FE71E4" w:rsidRPr="006A55F0" w:rsidTr="00F347F4">
        <w:trPr>
          <w:trHeight w:val="255"/>
        </w:trPr>
        <w:tc>
          <w:tcPr>
            <w:tcW w:w="1560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 w:rsidRPr="006A55F0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Lead Optimisation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ind w:right="33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 w:rsidRPr="006A55F0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 w:rsidRPr="006A55F0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8%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ind w:right="176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25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ind w:right="176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69·9</w:t>
            </w:r>
          </w:p>
        </w:tc>
      </w:tr>
      <w:tr w:rsidR="00FE71E4" w:rsidRPr="006A55F0" w:rsidTr="00F347F4">
        <w:trPr>
          <w:trHeight w:val="255"/>
        </w:trPr>
        <w:tc>
          <w:tcPr>
            <w:tcW w:w="1560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 w:rsidRPr="006A55F0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Preclinical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ind w:right="33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 w:rsidRPr="006A55F0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 w:rsidRPr="006A55F0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10%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ind w:right="176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50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ind w:right="176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131·6</w:t>
            </w:r>
          </w:p>
        </w:tc>
      </w:tr>
      <w:tr w:rsidR="00FE71E4" w:rsidRPr="006A55F0" w:rsidTr="00F347F4">
        <w:trPr>
          <w:trHeight w:val="255"/>
        </w:trPr>
        <w:tc>
          <w:tcPr>
            <w:tcW w:w="1560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 w:rsidRPr="006A55F0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Phase I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ind w:right="33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23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 w:rsidRPr="006A55F0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 w:rsidRPr="006A55F0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20%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ind w:right="176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115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ind w:right="176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257·1</w:t>
            </w:r>
          </w:p>
        </w:tc>
      </w:tr>
      <w:tr w:rsidR="00FE71E4" w:rsidRPr="006A55F0" w:rsidTr="00F347F4">
        <w:trPr>
          <w:trHeight w:val="255"/>
        </w:trPr>
        <w:tc>
          <w:tcPr>
            <w:tcW w:w="1560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 w:rsidRPr="006A55F0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Phase II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ind w:right="33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 w:rsidRPr="006A55F0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 w:rsidRPr="006A55F0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30%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ind w:right="176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66·7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ind w:right="176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366·5</w:t>
            </w:r>
          </w:p>
        </w:tc>
      </w:tr>
      <w:tr w:rsidR="00FE71E4" w:rsidRPr="006A55F0" w:rsidTr="00F347F4">
        <w:trPr>
          <w:trHeight w:val="255"/>
        </w:trPr>
        <w:tc>
          <w:tcPr>
            <w:tcW w:w="1560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 w:rsidRPr="006A55F0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Phase III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ind w:right="33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137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 w:rsidRPr="006A55F0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 w:rsidRPr="006A55F0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67%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ind w:right="176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204·5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ind w:right="176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632·0</w:t>
            </w:r>
          </w:p>
        </w:tc>
      </w:tr>
      <w:tr w:rsidR="00FE71E4" w:rsidRPr="006A55F0" w:rsidTr="00F347F4">
        <w:trPr>
          <w:trHeight w:val="255"/>
        </w:trPr>
        <w:tc>
          <w:tcPr>
            <w:tcW w:w="1560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Phase IV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ind w:right="33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 w:rsidRPr="006A55F0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 w:rsidRPr="006A55F0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46%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ind w:right="176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19·6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ind w:right="176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</w:p>
        </w:tc>
      </w:tr>
      <w:tr w:rsidR="00FE71E4" w:rsidRPr="006A55F0" w:rsidTr="00F347F4">
        <w:trPr>
          <w:trHeight w:val="255"/>
        </w:trPr>
        <w:tc>
          <w:tcPr>
            <w:tcW w:w="1560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 w:rsidRPr="006A55F0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Registration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ind w:right="33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 w:rsidRPr="006A55F0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 w:rsidRPr="006A55F0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81%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ind w:right="176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6·2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ind w:right="176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709·9</w:t>
            </w:r>
          </w:p>
        </w:tc>
      </w:tr>
      <w:tr w:rsidR="00FE71E4" w:rsidRPr="006A55F0" w:rsidTr="00F347F4">
        <w:trPr>
          <w:trHeight w:val="255"/>
        </w:trPr>
        <w:tc>
          <w:tcPr>
            <w:tcW w:w="1560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jc w:val="left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ZA" w:eastAsia="en-GB"/>
              </w:rPr>
            </w:pPr>
            <w:r w:rsidRPr="006A55F0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ZA" w:eastAsia="en-GB"/>
              </w:rPr>
              <w:t>Total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ind w:right="33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ZA" w:eastAsia="en-GB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ZA" w:eastAsia="en-GB"/>
              </w:rPr>
              <w:t>202·5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ZA" w:eastAsia="en-GB"/>
              </w:rPr>
            </w:pPr>
            <w:r w:rsidRPr="006A55F0"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ZA" w:eastAsia="en-GB"/>
              </w:rPr>
              <w:t>16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</w:pPr>
            <w:r w:rsidRPr="006A55F0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ZA" w:eastAsia="en-GB"/>
              </w:rPr>
              <w:t>100%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ind w:right="176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ZA" w:eastAsia="en-GB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ZA" w:eastAsia="en-GB"/>
              </w:rPr>
              <w:t>526·9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ind w:right="176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ZA" w:eastAsia="en-GB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2"/>
                <w:szCs w:val="22"/>
                <w:lang w:val="en-ZA" w:eastAsia="en-GB"/>
              </w:rPr>
              <w:t>709·9</w:t>
            </w:r>
          </w:p>
        </w:tc>
      </w:tr>
    </w:tbl>
    <w:p w:rsidR="00FE71E4" w:rsidRPr="006A55F0" w:rsidRDefault="00FE71E4" w:rsidP="00FE71E4">
      <w:pPr>
        <w:spacing w:line="360" w:lineRule="auto"/>
        <w:rPr>
          <w:rFonts w:asciiTheme="minorHAnsi" w:hAnsiTheme="minorHAnsi" w:cstheme="minorHAnsi"/>
          <w:sz w:val="22"/>
          <w:szCs w:val="22"/>
          <w:lang w:val="en-ZA"/>
        </w:rPr>
      </w:pPr>
    </w:p>
    <w:p w:rsidR="00FE71E4" w:rsidRPr="006A55F0" w:rsidRDefault="00FE71E4" w:rsidP="00FE71E4">
      <w:pPr>
        <w:spacing w:line="360" w:lineRule="auto"/>
        <w:rPr>
          <w:rFonts w:asciiTheme="minorHAnsi" w:hAnsiTheme="minorHAnsi" w:cstheme="minorHAnsi"/>
          <w:sz w:val="22"/>
          <w:szCs w:val="22"/>
          <w:vertAlign w:val="superscript"/>
          <w:lang w:val="en-ZA"/>
        </w:rPr>
      </w:pPr>
      <w:r w:rsidRPr="006A55F0">
        <w:rPr>
          <w:rFonts w:asciiTheme="minorHAnsi" w:hAnsiTheme="minorHAnsi" w:cstheme="minorHAnsi"/>
          <w:sz w:val="22"/>
          <w:szCs w:val="22"/>
          <w:lang w:val="en-ZA"/>
        </w:rPr>
        <w:t xml:space="preserve">Sources: </w:t>
      </w:r>
      <w:proofErr w:type="spellStart"/>
      <w:r w:rsidRPr="006A55F0">
        <w:rPr>
          <w:rFonts w:asciiTheme="minorHAnsi" w:hAnsiTheme="minorHAnsi" w:cstheme="minorHAnsi"/>
          <w:sz w:val="22"/>
          <w:szCs w:val="22"/>
          <w:lang w:val="en-ZA"/>
        </w:rPr>
        <w:t>DiMasi</w:t>
      </w:r>
      <w:proofErr w:type="spellEnd"/>
      <w:r w:rsidRPr="006A55F0">
        <w:rPr>
          <w:rFonts w:asciiTheme="minorHAnsi" w:hAnsiTheme="minorHAnsi" w:cstheme="minorHAnsi"/>
          <w:sz w:val="22"/>
          <w:szCs w:val="22"/>
          <w:lang w:val="en-ZA"/>
        </w:rPr>
        <w:t xml:space="preserve"> [</w:t>
      </w:r>
      <w:r>
        <w:rPr>
          <w:rFonts w:asciiTheme="minorHAnsi" w:hAnsiTheme="minorHAnsi" w:cstheme="minorHAnsi"/>
          <w:sz w:val="22"/>
          <w:szCs w:val="22"/>
          <w:lang w:val="en-ZA"/>
        </w:rPr>
        <w:t>15</w:t>
      </w:r>
      <w:r w:rsidRPr="006A55F0">
        <w:rPr>
          <w:rFonts w:asciiTheme="minorHAnsi" w:hAnsiTheme="minorHAnsi" w:cstheme="minorHAnsi"/>
          <w:sz w:val="22"/>
          <w:szCs w:val="22"/>
          <w:lang w:val="en-ZA"/>
        </w:rPr>
        <w:t>], Mathieu [</w:t>
      </w:r>
      <w:r>
        <w:rPr>
          <w:rFonts w:asciiTheme="minorHAnsi" w:hAnsiTheme="minorHAnsi" w:cstheme="minorHAnsi"/>
          <w:sz w:val="22"/>
          <w:szCs w:val="22"/>
          <w:lang w:val="en-ZA"/>
        </w:rPr>
        <w:t>14</w:t>
      </w:r>
      <w:r w:rsidRPr="006A55F0">
        <w:rPr>
          <w:rFonts w:asciiTheme="minorHAnsi" w:hAnsiTheme="minorHAnsi" w:cstheme="minorHAnsi"/>
          <w:sz w:val="22"/>
          <w:szCs w:val="22"/>
          <w:lang w:val="en-ZA"/>
        </w:rPr>
        <w:t>]</w:t>
      </w:r>
    </w:p>
    <w:p w:rsidR="00FE71E4" w:rsidRDefault="00FE71E4" w:rsidP="00FE71E4"/>
    <w:p w:rsidR="00FE71E4" w:rsidRDefault="00FE71E4">
      <w:pPr>
        <w:spacing w:after="200" w:line="276" w:lineRule="auto"/>
        <w:jc w:val="left"/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ZA"/>
        </w:rPr>
      </w:pPr>
      <w:bookmarkStart w:id="4" w:name="_Ref320884158"/>
      <w:r>
        <w:rPr>
          <w:rFonts w:asciiTheme="minorHAnsi" w:hAnsiTheme="minorHAnsi" w:cstheme="minorHAnsi"/>
          <w:szCs w:val="22"/>
          <w:lang w:val="en-ZA"/>
        </w:rPr>
        <w:br w:type="page"/>
      </w:r>
    </w:p>
    <w:p w:rsidR="00FE71E4" w:rsidRPr="006A55F0" w:rsidRDefault="00FE71E4" w:rsidP="00FE71E4">
      <w:pPr>
        <w:pStyle w:val="Caption"/>
        <w:spacing w:line="360" w:lineRule="auto"/>
        <w:rPr>
          <w:rFonts w:asciiTheme="minorHAnsi" w:hAnsiTheme="minorHAnsi" w:cstheme="minorHAnsi"/>
          <w:szCs w:val="22"/>
          <w:lang w:val="en-ZA"/>
        </w:rPr>
      </w:pPr>
      <w:r w:rsidRPr="006A55F0">
        <w:rPr>
          <w:rFonts w:asciiTheme="minorHAnsi" w:hAnsiTheme="minorHAnsi" w:cstheme="minorHAnsi"/>
          <w:szCs w:val="22"/>
          <w:lang w:val="en-ZA"/>
        </w:rPr>
        <w:lastRenderedPageBreak/>
        <w:t xml:space="preserve">Table </w:t>
      </w:r>
      <w:bookmarkEnd w:id="4"/>
      <w:r>
        <w:rPr>
          <w:rFonts w:asciiTheme="minorHAnsi" w:hAnsiTheme="minorHAnsi" w:cstheme="minorHAnsi"/>
          <w:szCs w:val="22"/>
          <w:lang w:val="en-ZA"/>
        </w:rPr>
        <w:t>5</w:t>
      </w:r>
      <w:r w:rsidRPr="006A55F0">
        <w:rPr>
          <w:rFonts w:asciiTheme="minorHAnsi" w:hAnsiTheme="minorHAnsi" w:cstheme="minorHAnsi"/>
          <w:szCs w:val="22"/>
          <w:lang w:val="en-ZA"/>
        </w:rPr>
        <w:t>. Further Statistics on Drug Costs</w:t>
      </w:r>
    </w:p>
    <w:tbl>
      <w:tblPr>
        <w:tblW w:w="8221" w:type="dxa"/>
        <w:tblInd w:w="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1701"/>
        <w:gridCol w:w="1984"/>
        <w:gridCol w:w="1984"/>
      </w:tblGrid>
      <w:tr w:rsidR="00FE71E4" w:rsidRPr="006A55F0" w:rsidTr="00983275">
        <w:trPr>
          <w:trHeight w:val="567"/>
        </w:trPr>
        <w:tc>
          <w:tcPr>
            <w:tcW w:w="2552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center"/>
            <w:hideMark/>
          </w:tcPr>
          <w:p w:rsidR="00FE71E4" w:rsidRPr="006A55F0" w:rsidRDefault="00FE71E4" w:rsidP="00983275">
            <w:pPr>
              <w:spacing w:line="360" w:lineRule="auto"/>
              <w:jc w:val="left"/>
              <w:rPr>
                <w:rFonts w:asciiTheme="minorHAnsi" w:hAnsiTheme="minorHAnsi" w:cstheme="minorHAnsi"/>
                <w:b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b/>
                <w:sz w:val="22"/>
                <w:szCs w:val="22"/>
                <w:lang w:val="en-ZA"/>
              </w:rPr>
              <w:t xml:space="preserve">Company </w:t>
            </w:r>
          </w:p>
        </w:tc>
        <w:tc>
          <w:tcPr>
            <w:tcW w:w="1701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b/>
                <w:sz w:val="22"/>
                <w:szCs w:val="22"/>
                <w:lang w:val="en-ZA"/>
              </w:rPr>
              <w:t>Number of drugs approved</w:t>
            </w:r>
          </w:p>
        </w:tc>
        <w:tc>
          <w:tcPr>
            <w:tcW w:w="1984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b/>
                <w:sz w:val="22"/>
                <w:szCs w:val="22"/>
                <w:lang w:val="en-ZA"/>
              </w:rPr>
              <w:t>R&amp;D Spending Per Drug ($ mill)</w:t>
            </w:r>
          </w:p>
        </w:tc>
        <w:tc>
          <w:tcPr>
            <w:tcW w:w="1984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center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b/>
                <w:sz w:val="22"/>
                <w:szCs w:val="22"/>
                <w:lang w:val="en-ZA"/>
              </w:rPr>
              <w:t>Total R&amp;D Spending 1997-2011 ($ mill)</w:t>
            </w:r>
          </w:p>
        </w:tc>
      </w:tr>
      <w:tr w:rsidR="00FE71E4" w:rsidRPr="006A55F0" w:rsidTr="00983275">
        <w:trPr>
          <w:trHeight w:val="227"/>
        </w:trPr>
        <w:tc>
          <w:tcPr>
            <w:tcW w:w="2552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FE71E4" w:rsidP="00983275">
            <w:pPr>
              <w:spacing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 xml:space="preserve">AstraZeneca </w:t>
            </w:r>
          </w:p>
        </w:tc>
        <w:tc>
          <w:tcPr>
            <w:tcW w:w="1701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5</w:t>
            </w:r>
          </w:p>
        </w:tc>
        <w:tc>
          <w:tcPr>
            <w:tcW w:w="1984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983275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11,791</w:t>
            </w:r>
          </w:p>
        </w:tc>
        <w:tc>
          <w:tcPr>
            <w:tcW w:w="1984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58,955</w:t>
            </w:r>
          </w:p>
        </w:tc>
      </w:tr>
      <w:tr w:rsidR="00FE71E4" w:rsidRPr="006A55F0" w:rsidTr="00983275">
        <w:trPr>
          <w:trHeight w:val="227"/>
        </w:trPr>
        <w:tc>
          <w:tcPr>
            <w:tcW w:w="2552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FE71E4" w:rsidP="00983275">
            <w:pPr>
              <w:spacing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 xml:space="preserve">GlaxoSmithKline </w:t>
            </w:r>
          </w:p>
        </w:tc>
        <w:tc>
          <w:tcPr>
            <w:tcW w:w="1701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10</w:t>
            </w:r>
          </w:p>
        </w:tc>
        <w:tc>
          <w:tcPr>
            <w:tcW w:w="1984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983275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8,171</w:t>
            </w:r>
          </w:p>
        </w:tc>
        <w:tc>
          <w:tcPr>
            <w:tcW w:w="1984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81,708</w:t>
            </w:r>
          </w:p>
        </w:tc>
      </w:tr>
      <w:tr w:rsidR="00FE71E4" w:rsidRPr="006A55F0" w:rsidTr="00983275">
        <w:trPr>
          <w:trHeight w:val="227"/>
        </w:trPr>
        <w:tc>
          <w:tcPr>
            <w:tcW w:w="2552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FE71E4" w:rsidP="00983275">
            <w:pPr>
              <w:spacing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proofErr w:type="spellStart"/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Sanofi</w:t>
            </w:r>
            <w:proofErr w:type="spellEnd"/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8</w:t>
            </w:r>
          </w:p>
        </w:tc>
        <w:tc>
          <w:tcPr>
            <w:tcW w:w="1984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983275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7,909</w:t>
            </w:r>
          </w:p>
        </w:tc>
        <w:tc>
          <w:tcPr>
            <w:tcW w:w="1984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63,274</w:t>
            </w:r>
          </w:p>
        </w:tc>
      </w:tr>
      <w:tr w:rsidR="00FE71E4" w:rsidRPr="006A55F0" w:rsidTr="00983275">
        <w:trPr>
          <w:trHeight w:val="227"/>
        </w:trPr>
        <w:tc>
          <w:tcPr>
            <w:tcW w:w="2552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FE71E4" w:rsidP="00983275">
            <w:pPr>
              <w:spacing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 xml:space="preserve">Roche Holding AG </w:t>
            </w:r>
          </w:p>
        </w:tc>
        <w:tc>
          <w:tcPr>
            <w:tcW w:w="1701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11</w:t>
            </w:r>
          </w:p>
        </w:tc>
        <w:tc>
          <w:tcPr>
            <w:tcW w:w="1984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983275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7,804</w:t>
            </w:r>
          </w:p>
        </w:tc>
        <w:tc>
          <w:tcPr>
            <w:tcW w:w="1984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85,841</w:t>
            </w:r>
          </w:p>
        </w:tc>
      </w:tr>
      <w:tr w:rsidR="00FE71E4" w:rsidRPr="006A55F0" w:rsidTr="00983275">
        <w:trPr>
          <w:trHeight w:val="227"/>
        </w:trPr>
        <w:tc>
          <w:tcPr>
            <w:tcW w:w="2552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FE71E4" w:rsidP="00983275">
            <w:pPr>
              <w:spacing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 xml:space="preserve">Pfizer Inc. </w:t>
            </w:r>
          </w:p>
        </w:tc>
        <w:tc>
          <w:tcPr>
            <w:tcW w:w="1701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14</w:t>
            </w:r>
          </w:p>
        </w:tc>
        <w:tc>
          <w:tcPr>
            <w:tcW w:w="1984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983275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7,727</w:t>
            </w:r>
          </w:p>
        </w:tc>
        <w:tc>
          <w:tcPr>
            <w:tcW w:w="1984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108,178</w:t>
            </w:r>
          </w:p>
        </w:tc>
      </w:tr>
      <w:tr w:rsidR="00FE71E4" w:rsidRPr="006A55F0" w:rsidTr="00983275">
        <w:trPr>
          <w:trHeight w:val="227"/>
        </w:trPr>
        <w:tc>
          <w:tcPr>
            <w:tcW w:w="2552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FE71E4" w:rsidP="00983275">
            <w:pPr>
              <w:spacing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 xml:space="preserve">Johnson &amp; Johnson </w:t>
            </w:r>
          </w:p>
        </w:tc>
        <w:tc>
          <w:tcPr>
            <w:tcW w:w="1701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15</w:t>
            </w:r>
          </w:p>
        </w:tc>
        <w:tc>
          <w:tcPr>
            <w:tcW w:w="1984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983275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5,886</w:t>
            </w:r>
          </w:p>
        </w:tc>
        <w:tc>
          <w:tcPr>
            <w:tcW w:w="1984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88,285</w:t>
            </w:r>
          </w:p>
        </w:tc>
      </w:tr>
      <w:tr w:rsidR="00FE71E4" w:rsidRPr="006A55F0" w:rsidTr="00983275">
        <w:trPr>
          <w:trHeight w:val="227"/>
        </w:trPr>
        <w:tc>
          <w:tcPr>
            <w:tcW w:w="2552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FE71E4" w:rsidP="00983275">
            <w:pPr>
              <w:spacing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 xml:space="preserve">Eli Lilly &amp; Co. </w:t>
            </w:r>
          </w:p>
        </w:tc>
        <w:tc>
          <w:tcPr>
            <w:tcW w:w="1701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11</w:t>
            </w:r>
          </w:p>
        </w:tc>
        <w:tc>
          <w:tcPr>
            <w:tcW w:w="1984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983275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4,577</w:t>
            </w:r>
          </w:p>
        </w:tc>
        <w:tc>
          <w:tcPr>
            <w:tcW w:w="1984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50,347</w:t>
            </w:r>
          </w:p>
        </w:tc>
      </w:tr>
      <w:tr w:rsidR="00FE71E4" w:rsidRPr="006A55F0" w:rsidTr="00983275">
        <w:trPr>
          <w:trHeight w:val="227"/>
        </w:trPr>
        <w:tc>
          <w:tcPr>
            <w:tcW w:w="2552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FE71E4" w:rsidP="00983275">
            <w:pPr>
              <w:spacing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 xml:space="preserve">Abbott Laboratories </w:t>
            </w:r>
          </w:p>
        </w:tc>
        <w:tc>
          <w:tcPr>
            <w:tcW w:w="1701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8</w:t>
            </w:r>
          </w:p>
        </w:tc>
        <w:tc>
          <w:tcPr>
            <w:tcW w:w="1984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983275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4,496</w:t>
            </w:r>
          </w:p>
        </w:tc>
        <w:tc>
          <w:tcPr>
            <w:tcW w:w="1984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35,970</w:t>
            </w:r>
          </w:p>
        </w:tc>
      </w:tr>
      <w:tr w:rsidR="00FE71E4" w:rsidRPr="006A55F0" w:rsidTr="00983275">
        <w:trPr>
          <w:trHeight w:val="227"/>
        </w:trPr>
        <w:tc>
          <w:tcPr>
            <w:tcW w:w="2552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FE71E4" w:rsidP="00983275">
            <w:pPr>
              <w:spacing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 xml:space="preserve">Merck &amp; Co </w:t>
            </w:r>
            <w:proofErr w:type="spellStart"/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Inc</w:t>
            </w:r>
            <w:proofErr w:type="spellEnd"/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16</w:t>
            </w:r>
          </w:p>
        </w:tc>
        <w:tc>
          <w:tcPr>
            <w:tcW w:w="1984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983275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4,210</w:t>
            </w:r>
          </w:p>
        </w:tc>
        <w:tc>
          <w:tcPr>
            <w:tcW w:w="1984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67,360</w:t>
            </w:r>
          </w:p>
        </w:tc>
      </w:tr>
      <w:tr w:rsidR="00FE71E4" w:rsidRPr="006A55F0" w:rsidTr="00983275">
        <w:trPr>
          <w:trHeight w:val="227"/>
        </w:trPr>
        <w:tc>
          <w:tcPr>
            <w:tcW w:w="2552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FE71E4" w:rsidP="00983275">
            <w:pPr>
              <w:spacing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 xml:space="preserve">Bristol-Myers Squibb Co. </w:t>
            </w:r>
          </w:p>
        </w:tc>
        <w:tc>
          <w:tcPr>
            <w:tcW w:w="1701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11</w:t>
            </w:r>
          </w:p>
        </w:tc>
        <w:tc>
          <w:tcPr>
            <w:tcW w:w="1984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983275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4,152</w:t>
            </w:r>
          </w:p>
        </w:tc>
        <w:tc>
          <w:tcPr>
            <w:tcW w:w="1984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45,675</w:t>
            </w:r>
          </w:p>
        </w:tc>
      </w:tr>
      <w:tr w:rsidR="00FE71E4" w:rsidRPr="006A55F0" w:rsidTr="00983275">
        <w:trPr>
          <w:trHeight w:val="227"/>
        </w:trPr>
        <w:tc>
          <w:tcPr>
            <w:tcW w:w="2552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FE71E4" w:rsidP="00983275">
            <w:pPr>
              <w:spacing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 xml:space="preserve">Novartis AG </w:t>
            </w:r>
          </w:p>
        </w:tc>
        <w:tc>
          <w:tcPr>
            <w:tcW w:w="1701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21</w:t>
            </w:r>
          </w:p>
        </w:tc>
        <w:tc>
          <w:tcPr>
            <w:tcW w:w="1984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983275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3,983</w:t>
            </w:r>
          </w:p>
        </w:tc>
        <w:tc>
          <w:tcPr>
            <w:tcW w:w="1984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83,646</w:t>
            </w:r>
          </w:p>
        </w:tc>
      </w:tr>
      <w:tr w:rsidR="00FE71E4" w:rsidRPr="006A55F0" w:rsidTr="00983275">
        <w:trPr>
          <w:trHeight w:val="227"/>
        </w:trPr>
        <w:tc>
          <w:tcPr>
            <w:tcW w:w="2552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FE71E4" w:rsidP="00983275">
            <w:pPr>
              <w:spacing w:line="360" w:lineRule="auto"/>
              <w:jc w:val="left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 xml:space="preserve">Amgen Inc. </w:t>
            </w:r>
          </w:p>
        </w:tc>
        <w:tc>
          <w:tcPr>
            <w:tcW w:w="1701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9</w:t>
            </w:r>
          </w:p>
        </w:tc>
        <w:tc>
          <w:tcPr>
            <w:tcW w:w="1984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983275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3,692</w:t>
            </w:r>
          </w:p>
        </w:tc>
        <w:tc>
          <w:tcPr>
            <w:tcW w:w="1984" w:type="dxa"/>
            <w:shd w:val="clear" w:color="auto" w:fill="auto"/>
            <w:tcMar>
              <w:top w:w="25" w:type="dxa"/>
              <w:left w:w="51" w:type="dxa"/>
              <w:bottom w:w="25" w:type="dxa"/>
              <w:right w:w="51" w:type="dxa"/>
            </w:tcMar>
            <w:vAlign w:val="bottom"/>
            <w:hideMark/>
          </w:tcPr>
          <w:p w:rsidR="00FE71E4" w:rsidRPr="006A55F0" w:rsidRDefault="00FE71E4" w:rsidP="00F347F4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ZA"/>
              </w:rPr>
            </w:pPr>
            <w:r w:rsidRPr="006A55F0">
              <w:rPr>
                <w:rFonts w:asciiTheme="minorHAnsi" w:hAnsiTheme="minorHAnsi" w:cstheme="minorHAnsi"/>
                <w:sz w:val="22"/>
                <w:szCs w:val="22"/>
                <w:lang w:val="en-ZA"/>
              </w:rPr>
              <w:t>33,229</w:t>
            </w:r>
          </w:p>
        </w:tc>
      </w:tr>
    </w:tbl>
    <w:p w:rsidR="00FE71E4" w:rsidRPr="006A55F0" w:rsidRDefault="00FE71E4" w:rsidP="00FE71E4">
      <w:pPr>
        <w:spacing w:line="360" w:lineRule="auto"/>
        <w:rPr>
          <w:rFonts w:asciiTheme="minorHAnsi" w:hAnsiTheme="minorHAnsi" w:cstheme="minorHAnsi"/>
          <w:sz w:val="22"/>
          <w:szCs w:val="22"/>
          <w:lang w:val="en-ZA"/>
        </w:rPr>
      </w:pPr>
    </w:p>
    <w:p w:rsidR="00FE71E4" w:rsidRPr="006A55F0" w:rsidRDefault="00FE71E4" w:rsidP="00FE71E4">
      <w:pPr>
        <w:spacing w:line="360" w:lineRule="auto"/>
        <w:rPr>
          <w:rFonts w:asciiTheme="minorHAnsi" w:hAnsiTheme="minorHAnsi" w:cstheme="minorHAnsi"/>
          <w:sz w:val="22"/>
          <w:szCs w:val="22"/>
          <w:vertAlign w:val="superscript"/>
          <w:lang w:val="en-ZA"/>
        </w:rPr>
      </w:pPr>
      <w:r w:rsidRPr="006A55F0">
        <w:rPr>
          <w:rFonts w:asciiTheme="minorHAnsi" w:hAnsiTheme="minorHAnsi" w:cstheme="minorHAnsi"/>
          <w:iCs/>
          <w:sz w:val="22"/>
          <w:szCs w:val="22"/>
          <w:lang w:val="en-ZA"/>
        </w:rPr>
        <w:t xml:space="preserve">Source: </w:t>
      </w:r>
      <w:proofErr w:type="spellStart"/>
      <w:r w:rsidRPr="006A55F0">
        <w:rPr>
          <w:rFonts w:asciiTheme="minorHAnsi" w:hAnsiTheme="minorHAnsi" w:cstheme="minorHAnsi"/>
          <w:iCs/>
          <w:sz w:val="22"/>
          <w:szCs w:val="22"/>
          <w:lang w:val="en-ZA"/>
        </w:rPr>
        <w:t>Herper</w:t>
      </w:r>
      <w:proofErr w:type="spellEnd"/>
      <w:r w:rsidRPr="006A55F0">
        <w:rPr>
          <w:rFonts w:asciiTheme="minorHAnsi" w:hAnsiTheme="minorHAnsi" w:cstheme="minorHAnsi"/>
          <w:iCs/>
          <w:sz w:val="22"/>
          <w:szCs w:val="22"/>
          <w:lang w:val="en-ZA"/>
        </w:rPr>
        <w:t xml:space="preserve"> [</w:t>
      </w:r>
      <w:r w:rsidR="000F7010">
        <w:rPr>
          <w:rFonts w:asciiTheme="minorHAnsi" w:hAnsiTheme="minorHAnsi" w:cstheme="minorHAnsi"/>
          <w:iCs/>
          <w:sz w:val="22"/>
          <w:szCs w:val="22"/>
          <w:lang w:val="en-ZA"/>
        </w:rPr>
        <w:t>36</w:t>
      </w:r>
      <w:r w:rsidRPr="006A55F0">
        <w:rPr>
          <w:rFonts w:asciiTheme="minorHAnsi" w:hAnsiTheme="minorHAnsi" w:cstheme="minorHAnsi"/>
          <w:iCs/>
          <w:sz w:val="22"/>
          <w:szCs w:val="22"/>
          <w:lang w:val="en-ZA"/>
        </w:rPr>
        <w:t>]</w:t>
      </w:r>
    </w:p>
    <w:p w:rsidR="00FE71E4" w:rsidRDefault="00FE71E4" w:rsidP="00FE71E4"/>
    <w:p w:rsidR="005915CC" w:rsidRDefault="005915CC" w:rsidP="00C55C86">
      <w:pPr>
        <w:spacing w:line="360" w:lineRule="auto"/>
      </w:pPr>
    </w:p>
    <w:sectPr w:rsidR="005915CC" w:rsidSect="005508B8">
      <w:footerReference w:type="default" r:id="rId8"/>
      <w:pgSz w:w="11906" w:h="16838"/>
      <w:pgMar w:top="1440" w:right="1440" w:bottom="1440" w:left="1440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74B" w:rsidRDefault="0058174B">
      <w:r>
        <w:separator/>
      </w:r>
    </w:p>
  </w:endnote>
  <w:endnote w:type="continuationSeparator" w:id="0">
    <w:p w:rsidR="0058174B" w:rsidRDefault="00581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7B8" w:rsidRPr="005508B8" w:rsidRDefault="0058174B" w:rsidP="005508B8">
    <w:pPr>
      <w:pStyle w:val="Footer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74B" w:rsidRDefault="0058174B">
      <w:r>
        <w:separator/>
      </w:r>
    </w:p>
  </w:footnote>
  <w:footnote w:type="continuationSeparator" w:id="0">
    <w:p w:rsidR="0058174B" w:rsidRDefault="005817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A0706E"/>
    <w:multiLevelType w:val="hybridMultilevel"/>
    <w:tmpl w:val="9A04F3CE"/>
    <w:lvl w:ilvl="0" w:tplc="E1CCF840">
      <w:start w:val="1"/>
      <w:numFmt w:val="bullet"/>
      <w:pStyle w:val="BulletTex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36C"/>
    <w:rsid w:val="000D3E05"/>
    <w:rsid w:val="000F7010"/>
    <w:rsid w:val="00195DB9"/>
    <w:rsid w:val="003A06B4"/>
    <w:rsid w:val="00546C4A"/>
    <w:rsid w:val="0058174B"/>
    <w:rsid w:val="005915CC"/>
    <w:rsid w:val="007A3C6D"/>
    <w:rsid w:val="007C2800"/>
    <w:rsid w:val="00811322"/>
    <w:rsid w:val="0088136C"/>
    <w:rsid w:val="00983275"/>
    <w:rsid w:val="00AD7FA2"/>
    <w:rsid w:val="00C55C86"/>
    <w:rsid w:val="00D13508"/>
    <w:rsid w:val="00E01B09"/>
    <w:rsid w:val="00E25C01"/>
    <w:rsid w:val="00FE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36C"/>
    <w:pPr>
      <w:spacing w:after="0" w:line="240" w:lineRule="auto"/>
      <w:jc w:val="both"/>
    </w:pPr>
    <w:rPr>
      <w:rFonts w:ascii="Calibri" w:hAnsi="Calibri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88136C"/>
    <w:pPr>
      <w:spacing w:after="120"/>
    </w:pPr>
    <w:rPr>
      <w:b/>
      <w:bCs/>
      <w:color w:val="000000" w:themeColor="text1"/>
      <w:sz w:val="22"/>
      <w:szCs w:val="18"/>
    </w:rPr>
  </w:style>
  <w:style w:type="table" w:styleId="TableGrid">
    <w:name w:val="Table Grid"/>
    <w:basedOn w:val="TableNormal"/>
    <w:uiPriority w:val="59"/>
    <w:rsid w:val="0088136C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lletText">
    <w:name w:val="Bullet Text"/>
    <w:basedOn w:val="ListParagraph"/>
    <w:link w:val="BulletTextChar"/>
    <w:qFormat/>
    <w:rsid w:val="0088136C"/>
    <w:pPr>
      <w:numPr>
        <w:numId w:val="1"/>
      </w:numPr>
      <w:ind w:left="567" w:hanging="283"/>
    </w:pPr>
    <w:rPr>
      <w:lang w:val="en-ZA"/>
    </w:rPr>
  </w:style>
  <w:style w:type="character" w:customStyle="1" w:styleId="BulletTextChar">
    <w:name w:val="Bullet Text Char"/>
    <w:basedOn w:val="DefaultParagraphFont"/>
    <w:link w:val="BulletText"/>
    <w:rsid w:val="0088136C"/>
    <w:rPr>
      <w:rFonts w:ascii="Calibri" w:hAnsi="Calibri"/>
      <w:sz w:val="24"/>
      <w:szCs w:val="24"/>
    </w:rPr>
  </w:style>
  <w:style w:type="paragraph" w:customStyle="1" w:styleId="MainText">
    <w:name w:val="Main Text"/>
    <w:basedOn w:val="Normal"/>
    <w:link w:val="MainTextChar"/>
    <w:qFormat/>
    <w:rsid w:val="0088136C"/>
    <w:rPr>
      <w:rFonts w:asciiTheme="minorHAnsi" w:hAnsiTheme="minorHAnsi"/>
      <w:lang w:val="en-ZA"/>
    </w:rPr>
  </w:style>
  <w:style w:type="character" w:customStyle="1" w:styleId="MainTextChar">
    <w:name w:val="Main Text Char"/>
    <w:basedOn w:val="DefaultParagraphFont"/>
    <w:link w:val="MainText"/>
    <w:rsid w:val="0088136C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88136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8136C"/>
    <w:rPr>
      <w:rFonts w:ascii="Calibri" w:hAnsi="Calibri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8813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36C"/>
    <w:pPr>
      <w:spacing w:after="0" w:line="240" w:lineRule="auto"/>
      <w:jc w:val="both"/>
    </w:pPr>
    <w:rPr>
      <w:rFonts w:ascii="Calibri" w:hAnsi="Calibri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88136C"/>
    <w:pPr>
      <w:spacing w:after="120"/>
    </w:pPr>
    <w:rPr>
      <w:b/>
      <w:bCs/>
      <w:color w:val="000000" w:themeColor="text1"/>
      <w:sz w:val="22"/>
      <w:szCs w:val="18"/>
    </w:rPr>
  </w:style>
  <w:style w:type="table" w:styleId="TableGrid">
    <w:name w:val="Table Grid"/>
    <w:basedOn w:val="TableNormal"/>
    <w:uiPriority w:val="59"/>
    <w:rsid w:val="0088136C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lletText">
    <w:name w:val="Bullet Text"/>
    <w:basedOn w:val="ListParagraph"/>
    <w:link w:val="BulletTextChar"/>
    <w:qFormat/>
    <w:rsid w:val="0088136C"/>
    <w:pPr>
      <w:numPr>
        <w:numId w:val="1"/>
      </w:numPr>
      <w:ind w:left="567" w:hanging="283"/>
    </w:pPr>
    <w:rPr>
      <w:lang w:val="en-ZA"/>
    </w:rPr>
  </w:style>
  <w:style w:type="character" w:customStyle="1" w:styleId="BulletTextChar">
    <w:name w:val="Bullet Text Char"/>
    <w:basedOn w:val="DefaultParagraphFont"/>
    <w:link w:val="BulletText"/>
    <w:rsid w:val="0088136C"/>
    <w:rPr>
      <w:rFonts w:ascii="Calibri" w:hAnsi="Calibri"/>
      <w:sz w:val="24"/>
      <w:szCs w:val="24"/>
    </w:rPr>
  </w:style>
  <w:style w:type="paragraph" w:customStyle="1" w:styleId="MainText">
    <w:name w:val="Main Text"/>
    <w:basedOn w:val="Normal"/>
    <w:link w:val="MainTextChar"/>
    <w:qFormat/>
    <w:rsid w:val="0088136C"/>
    <w:rPr>
      <w:rFonts w:asciiTheme="minorHAnsi" w:hAnsiTheme="minorHAnsi"/>
      <w:lang w:val="en-ZA"/>
    </w:rPr>
  </w:style>
  <w:style w:type="character" w:customStyle="1" w:styleId="MainTextChar">
    <w:name w:val="Main Text Char"/>
    <w:basedOn w:val="DefaultParagraphFont"/>
    <w:link w:val="MainText"/>
    <w:rsid w:val="0088136C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88136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8136C"/>
    <w:rPr>
      <w:rFonts w:ascii="Calibri" w:hAnsi="Calibri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8813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658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Pretoria</Company>
  <LinksUpToDate>false</LinksUpToDate>
  <CharactersWithSpaces>4403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Walwyn</cp:lastModifiedBy>
  <cp:revision>10</cp:revision>
  <dcterms:created xsi:type="dcterms:W3CDTF">2012-07-09T08:04:00Z</dcterms:created>
  <dcterms:modified xsi:type="dcterms:W3CDTF">2013-02-06T08:49:00Z</dcterms:modified>
</cp:coreProperties>
</file>