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BC4" w:rsidRPr="002265B8" w:rsidRDefault="000B1BC4" w:rsidP="000B1BC4">
      <w:pPr>
        <w:pStyle w:val="Caption"/>
        <w:keepNext/>
      </w:pPr>
      <w:bookmarkStart w:id="0" w:name="_Ref320925160"/>
      <w:r w:rsidRPr="002265B8">
        <w:t xml:space="preserve">Table </w:t>
      </w:r>
      <w:fldSimple w:instr=" SEQ Table \* ARABIC ">
        <w:r>
          <w:rPr>
            <w:noProof/>
          </w:rPr>
          <w:t>1</w:t>
        </w:r>
      </w:fldSimple>
      <w:bookmarkEnd w:id="0"/>
      <w:r w:rsidRPr="002265B8">
        <w:t xml:space="preserve"> Description of the study data sources and materials</w:t>
      </w:r>
    </w:p>
    <w:tbl>
      <w:tblPr>
        <w:tblStyle w:val="LightShading"/>
        <w:tblW w:w="0" w:type="auto"/>
        <w:tblLook w:val="04A0"/>
      </w:tblPr>
      <w:tblGrid>
        <w:gridCol w:w="4158"/>
        <w:gridCol w:w="5127"/>
      </w:tblGrid>
      <w:tr w:rsidR="000B1BC4" w:rsidRPr="002265B8" w:rsidTr="00E550AC">
        <w:trPr>
          <w:cnfStyle w:val="100000000000"/>
        </w:trPr>
        <w:tc>
          <w:tcPr>
            <w:cnfStyle w:val="001000000000"/>
            <w:tcW w:w="4158" w:type="dxa"/>
          </w:tcPr>
          <w:p w:rsidR="000B1BC4" w:rsidRPr="002265B8" w:rsidRDefault="000B1BC4" w:rsidP="00E550AC">
            <w:pPr>
              <w:ind w:left="360"/>
              <w:rPr>
                <w:i/>
                <w:iCs/>
                <w:sz w:val="18"/>
                <w:szCs w:val="18"/>
              </w:rPr>
            </w:pPr>
            <w:r w:rsidRPr="002265B8">
              <w:rPr>
                <w:i/>
                <w:iCs/>
                <w:sz w:val="18"/>
                <w:szCs w:val="18"/>
              </w:rPr>
              <w:t xml:space="preserve">Data Sources </w:t>
            </w:r>
          </w:p>
        </w:tc>
        <w:tc>
          <w:tcPr>
            <w:tcW w:w="5127" w:type="dxa"/>
          </w:tcPr>
          <w:p w:rsidR="000B1BC4" w:rsidRPr="002265B8" w:rsidRDefault="000B1BC4" w:rsidP="00E550AC">
            <w:pPr>
              <w:ind w:left="360"/>
              <w:cnfStyle w:val="100000000000"/>
              <w:rPr>
                <w:i/>
                <w:iCs/>
                <w:sz w:val="18"/>
                <w:szCs w:val="18"/>
              </w:rPr>
            </w:pPr>
            <w:r w:rsidRPr="002265B8">
              <w:rPr>
                <w:i/>
                <w:iCs/>
                <w:sz w:val="18"/>
                <w:szCs w:val="18"/>
              </w:rPr>
              <w:t>Description</w:t>
            </w:r>
          </w:p>
        </w:tc>
      </w:tr>
      <w:tr w:rsidR="000B1BC4" w:rsidRPr="002265B8" w:rsidTr="00E550AC">
        <w:trPr>
          <w:cnfStyle w:val="000000100000"/>
        </w:trPr>
        <w:tc>
          <w:tcPr>
            <w:cnfStyle w:val="001000000000"/>
            <w:tcW w:w="4158" w:type="dxa"/>
          </w:tcPr>
          <w:p w:rsidR="000B1BC4" w:rsidRPr="002265B8" w:rsidRDefault="000B1BC4" w:rsidP="00E550AC">
            <w:pPr>
              <w:ind w:left="360"/>
              <w:rPr>
                <w:sz w:val="18"/>
                <w:szCs w:val="18"/>
              </w:rPr>
            </w:pPr>
            <w:r w:rsidRPr="002265B8">
              <w:rPr>
                <w:sz w:val="18"/>
                <w:szCs w:val="18"/>
              </w:rPr>
              <w:t>Document Review</w:t>
            </w:r>
          </w:p>
        </w:tc>
        <w:tc>
          <w:tcPr>
            <w:tcW w:w="5127" w:type="dxa"/>
          </w:tcPr>
          <w:p w:rsidR="000B1BC4" w:rsidRPr="002265B8" w:rsidRDefault="000B1BC4" w:rsidP="00E550AC">
            <w:pPr>
              <w:ind w:left="360"/>
              <w:cnfStyle w:val="000000100000"/>
              <w:rPr>
                <w:sz w:val="18"/>
                <w:szCs w:val="18"/>
              </w:rPr>
            </w:pPr>
            <w:r w:rsidRPr="002265B8">
              <w:rPr>
                <w:sz w:val="18"/>
                <w:szCs w:val="18"/>
              </w:rPr>
              <w:t xml:space="preserve">International literature, laws, regulations, ministerial decrees, organizational policies and instructions, minutes of the parliamentary debates, Parliamentary committee meetings, governmental meetings of different levels concerning </w:t>
            </w:r>
            <w:r>
              <w:rPr>
                <w:sz w:val="18"/>
                <w:szCs w:val="18"/>
              </w:rPr>
              <w:t>MIP</w:t>
            </w:r>
            <w:r w:rsidRPr="002265B8">
              <w:rPr>
                <w:sz w:val="18"/>
                <w:szCs w:val="18"/>
              </w:rPr>
              <w:t xml:space="preserve"> introduction and implementation were reviewed.</w:t>
            </w:r>
          </w:p>
        </w:tc>
      </w:tr>
      <w:tr w:rsidR="000B1BC4" w:rsidRPr="002265B8" w:rsidTr="00E550AC">
        <w:tc>
          <w:tcPr>
            <w:cnfStyle w:val="001000000000"/>
            <w:tcW w:w="4158" w:type="dxa"/>
          </w:tcPr>
          <w:p w:rsidR="000B1BC4" w:rsidRPr="002265B8" w:rsidRDefault="000B1BC4" w:rsidP="00E550AC">
            <w:pPr>
              <w:ind w:left="360"/>
              <w:rPr>
                <w:sz w:val="18"/>
                <w:szCs w:val="18"/>
              </w:rPr>
            </w:pPr>
            <w:r w:rsidRPr="002265B8">
              <w:rPr>
                <w:sz w:val="18"/>
                <w:szCs w:val="18"/>
              </w:rPr>
              <w:t>Media analysis</w:t>
            </w:r>
          </w:p>
        </w:tc>
        <w:tc>
          <w:tcPr>
            <w:tcW w:w="5127" w:type="dxa"/>
          </w:tcPr>
          <w:p w:rsidR="000B1BC4" w:rsidRPr="002265B8" w:rsidRDefault="000B1BC4" w:rsidP="00E550AC">
            <w:pPr>
              <w:ind w:left="360"/>
              <w:cnfStyle w:val="000000000000"/>
              <w:rPr>
                <w:sz w:val="18"/>
                <w:szCs w:val="18"/>
              </w:rPr>
            </w:pPr>
            <w:r w:rsidRPr="002265B8">
              <w:rPr>
                <w:sz w:val="18"/>
                <w:szCs w:val="18"/>
              </w:rPr>
              <w:t xml:space="preserve">Retrospective analysis of electronic archives of 2 major broadcasters, 6 national daily newspapers, 2 weekly magazines and 3 news agencies were conducted for two years preceding the study (2009-2010).  Continuous media monitoring and analysis was maintained throughout the year 2011 on issues related to </w:t>
            </w:r>
            <w:r>
              <w:rPr>
                <w:sz w:val="18"/>
                <w:szCs w:val="18"/>
              </w:rPr>
              <w:t>MIP</w:t>
            </w:r>
            <w:r w:rsidRPr="002265B8">
              <w:rPr>
                <w:sz w:val="18"/>
                <w:szCs w:val="18"/>
              </w:rPr>
              <w:t xml:space="preserve"> implementation and impact and also broader health sector issues.</w:t>
            </w:r>
          </w:p>
        </w:tc>
      </w:tr>
      <w:tr w:rsidR="000B1BC4" w:rsidRPr="002265B8" w:rsidTr="00E550AC">
        <w:trPr>
          <w:cnfStyle w:val="000000100000"/>
        </w:trPr>
        <w:tc>
          <w:tcPr>
            <w:cnfStyle w:val="001000000000"/>
            <w:tcW w:w="4158" w:type="dxa"/>
          </w:tcPr>
          <w:p w:rsidR="000B1BC4" w:rsidRPr="002265B8" w:rsidRDefault="000B1BC4" w:rsidP="00E550AC">
            <w:pPr>
              <w:ind w:left="360"/>
              <w:rPr>
                <w:sz w:val="18"/>
                <w:szCs w:val="18"/>
              </w:rPr>
            </w:pPr>
            <w:r w:rsidRPr="002265B8">
              <w:rPr>
                <w:sz w:val="18"/>
                <w:szCs w:val="18"/>
              </w:rPr>
              <w:t xml:space="preserve">In-depth interviews </w:t>
            </w:r>
          </w:p>
        </w:tc>
        <w:tc>
          <w:tcPr>
            <w:tcW w:w="5127" w:type="dxa"/>
          </w:tcPr>
          <w:p w:rsidR="000B1BC4" w:rsidRPr="002265B8" w:rsidRDefault="000B1BC4" w:rsidP="00E550AC">
            <w:pPr>
              <w:ind w:left="360"/>
              <w:cnfStyle w:val="000000100000"/>
              <w:rPr>
                <w:sz w:val="18"/>
                <w:szCs w:val="18"/>
              </w:rPr>
            </w:pPr>
            <w:r w:rsidRPr="002265B8">
              <w:rPr>
                <w:sz w:val="18"/>
                <w:szCs w:val="18"/>
              </w:rPr>
              <w:t xml:space="preserve">Interviews were conducted with representatives of the </w:t>
            </w:r>
            <w:r>
              <w:rPr>
                <w:sz w:val="18"/>
                <w:szCs w:val="18"/>
              </w:rPr>
              <w:t xml:space="preserve">policy makers, private insurance companies, NGOs and technical experts </w:t>
            </w:r>
            <w:r w:rsidRPr="002265B8">
              <w:rPr>
                <w:sz w:val="18"/>
                <w:szCs w:val="18"/>
              </w:rPr>
              <w:t xml:space="preserve">involved in </w:t>
            </w:r>
            <w:r>
              <w:rPr>
                <w:sz w:val="18"/>
                <w:szCs w:val="18"/>
              </w:rPr>
              <w:t>MIP</w:t>
            </w:r>
            <w:r w:rsidRPr="002265B8">
              <w:rPr>
                <w:sz w:val="18"/>
                <w:szCs w:val="18"/>
              </w:rPr>
              <w:t xml:space="preserve"> design and implementation; 6 interviews with key informants were conducted at the first stage using the open ended questionnaire. 12 more interviews with key stakeholders were conducted during the first stage of the study and additional 8 interviews at the final stage of the study.</w:t>
            </w:r>
          </w:p>
        </w:tc>
      </w:tr>
      <w:tr w:rsidR="000B1BC4" w:rsidRPr="002265B8" w:rsidTr="00E550AC">
        <w:tc>
          <w:tcPr>
            <w:cnfStyle w:val="001000000000"/>
            <w:tcW w:w="4158" w:type="dxa"/>
          </w:tcPr>
          <w:p w:rsidR="000B1BC4" w:rsidRPr="002265B8" w:rsidRDefault="000B1BC4" w:rsidP="00E550AC">
            <w:pPr>
              <w:ind w:left="360"/>
              <w:rPr>
                <w:sz w:val="18"/>
                <w:szCs w:val="18"/>
              </w:rPr>
            </w:pPr>
            <w:r w:rsidRPr="002265B8">
              <w:rPr>
                <w:sz w:val="18"/>
                <w:szCs w:val="18"/>
              </w:rPr>
              <w:t xml:space="preserve">Focus group discussions </w:t>
            </w:r>
          </w:p>
        </w:tc>
        <w:tc>
          <w:tcPr>
            <w:tcW w:w="5127" w:type="dxa"/>
          </w:tcPr>
          <w:p w:rsidR="000B1BC4" w:rsidRPr="002265B8" w:rsidRDefault="000B1BC4" w:rsidP="00E550AC">
            <w:pPr>
              <w:ind w:left="360"/>
              <w:cnfStyle w:val="000000000000"/>
              <w:rPr>
                <w:sz w:val="18"/>
                <w:szCs w:val="18"/>
              </w:rPr>
            </w:pPr>
            <w:r w:rsidRPr="002265B8">
              <w:rPr>
                <w:sz w:val="18"/>
                <w:szCs w:val="18"/>
              </w:rPr>
              <w:t>The focus group discussions involving private insurance companies, health providers and patients/representatives of patient interest groups; total of 10 focus group discussions at central (Tbilisi) and regional level (with total 92 participants) were performed.</w:t>
            </w:r>
          </w:p>
        </w:tc>
      </w:tr>
      <w:tr w:rsidR="000B1BC4" w:rsidRPr="002265B8" w:rsidTr="00E550AC">
        <w:trPr>
          <w:cnfStyle w:val="000000100000"/>
        </w:trPr>
        <w:tc>
          <w:tcPr>
            <w:cnfStyle w:val="001000000000"/>
            <w:tcW w:w="4158" w:type="dxa"/>
          </w:tcPr>
          <w:p w:rsidR="000B1BC4" w:rsidRPr="002265B8" w:rsidRDefault="000B1BC4" w:rsidP="00E550AC">
            <w:pPr>
              <w:ind w:left="360"/>
              <w:rPr>
                <w:sz w:val="18"/>
                <w:szCs w:val="18"/>
              </w:rPr>
            </w:pPr>
            <w:r w:rsidRPr="002265B8">
              <w:rPr>
                <w:sz w:val="18"/>
                <w:szCs w:val="18"/>
              </w:rPr>
              <w:t xml:space="preserve">Secondary data </w:t>
            </w:r>
          </w:p>
        </w:tc>
        <w:tc>
          <w:tcPr>
            <w:tcW w:w="5127" w:type="dxa"/>
          </w:tcPr>
          <w:p w:rsidR="000B1BC4" w:rsidRPr="002265B8" w:rsidRDefault="000B1BC4" w:rsidP="00E550AC">
            <w:pPr>
              <w:ind w:left="360"/>
              <w:cnfStyle w:val="000000100000"/>
              <w:rPr>
                <w:sz w:val="18"/>
                <w:szCs w:val="18"/>
              </w:rPr>
            </w:pPr>
            <w:r w:rsidRPr="002265B8">
              <w:rPr>
                <w:sz w:val="18"/>
                <w:szCs w:val="18"/>
              </w:rPr>
              <w:t>Involved the analysis of the quantitative comparative data obtained through the population based surveys – the nationally representative Georgia Household Health Utilization and Expenditure Surveys in 2007 and 2010.</w:t>
            </w:r>
          </w:p>
        </w:tc>
      </w:tr>
      <w:tr w:rsidR="000B1BC4" w:rsidRPr="002265B8" w:rsidTr="00E550AC">
        <w:tc>
          <w:tcPr>
            <w:cnfStyle w:val="001000000000"/>
            <w:tcW w:w="4158" w:type="dxa"/>
          </w:tcPr>
          <w:p w:rsidR="000B1BC4" w:rsidRPr="002265B8" w:rsidRDefault="000B1BC4" w:rsidP="00E550AC">
            <w:pPr>
              <w:ind w:left="360"/>
              <w:rPr>
                <w:sz w:val="18"/>
                <w:szCs w:val="18"/>
              </w:rPr>
            </w:pPr>
            <w:r w:rsidRPr="002265B8">
              <w:rPr>
                <w:sz w:val="18"/>
                <w:szCs w:val="18"/>
              </w:rPr>
              <w:t>Published evaluations</w:t>
            </w:r>
          </w:p>
        </w:tc>
        <w:tc>
          <w:tcPr>
            <w:tcW w:w="5127" w:type="dxa"/>
          </w:tcPr>
          <w:p w:rsidR="000B1BC4" w:rsidRPr="002265B8" w:rsidRDefault="000B1BC4" w:rsidP="00E550AC">
            <w:pPr>
              <w:ind w:left="360"/>
              <w:cnfStyle w:val="000000000000"/>
              <w:rPr>
                <w:sz w:val="18"/>
                <w:szCs w:val="18"/>
              </w:rPr>
            </w:pPr>
            <w:r w:rsidRPr="002265B8">
              <w:rPr>
                <w:sz w:val="18"/>
                <w:szCs w:val="18"/>
              </w:rPr>
              <w:t xml:space="preserve">The World Bank, </w:t>
            </w:r>
            <w:r>
              <w:rPr>
                <w:sz w:val="18"/>
                <w:szCs w:val="18"/>
              </w:rPr>
              <w:t>MIP</w:t>
            </w:r>
            <w:r w:rsidRPr="002265B8">
              <w:rPr>
                <w:sz w:val="18"/>
                <w:szCs w:val="18"/>
              </w:rPr>
              <w:t xml:space="preserve"> Impact Evaluation Survey Report (2008). UNICEF and USAID, Survey of Barriers to Access to Social Services in Georgia (2010). </w:t>
            </w:r>
          </w:p>
        </w:tc>
      </w:tr>
      <w:tr w:rsidR="000B1BC4" w:rsidRPr="002265B8" w:rsidTr="00E550AC">
        <w:trPr>
          <w:cnfStyle w:val="000000100000"/>
        </w:trPr>
        <w:tc>
          <w:tcPr>
            <w:cnfStyle w:val="001000000000"/>
            <w:tcW w:w="4158" w:type="dxa"/>
          </w:tcPr>
          <w:p w:rsidR="000B1BC4" w:rsidRPr="002265B8" w:rsidRDefault="000B1BC4" w:rsidP="00E550AC">
            <w:pPr>
              <w:ind w:left="360"/>
              <w:rPr>
                <w:sz w:val="18"/>
                <w:szCs w:val="18"/>
              </w:rPr>
            </w:pPr>
            <w:r w:rsidRPr="002265B8">
              <w:rPr>
                <w:sz w:val="18"/>
                <w:szCs w:val="18"/>
              </w:rPr>
              <w:t xml:space="preserve">Report review process </w:t>
            </w:r>
          </w:p>
        </w:tc>
        <w:tc>
          <w:tcPr>
            <w:tcW w:w="5127" w:type="dxa"/>
          </w:tcPr>
          <w:p w:rsidR="000B1BC4" w:rsidRPr="002265B8" w:rsidRDefault="000B1BC4" w:rsidP="00E550AC">
            <w:pPr>
              <w:ind w:left="360"/>
              <w:cnfStyle w:val="000000100000"/>
              <w:rPr>
                <w:sz w:val="18"/>
                <w:szCs w:val="18"/>
              </w:rPr>
            </w:pPr>
            <w:r w:rsidRPr="002265B8">
              <w:rPr>
                <w:sz w:val="18"/>
                <w:szCs w:val="18"/>
              </w:rPr>
              <w:t>Two national peer reviewers using the research team network were contacted and asked to provide contribution.</w:t>
            </w:r>
          </w:p>
        </w:tc>
      </w:tr>
    </w:tbl>
    <w:p w:rsidR="000B1BC4" w:rsidRPr="002265B8" w:rsidRDefault="000B1BC4" w:rsidP="000B1BC4">
      <w:pPr>
        <w:autoSpaceDE w:val="0"/>
        <w:autoSpaceDN w:val="0"/>
        <w:adjustRightInd w:val="0"/>
      </w:pPr>
    </w:p>
    <w:p w:rsidR="003464E7" w:rsidRPr="00A55684" w:rsidRDefault="003464E7">
      <w:pPr>
        <w:rPr>
          <w:b/>
          <w:bCs/>
          <w:caps/>
          <w:sz w:val="16"/>
          <w:szCs w:val="18"/>
        </w:rPr>
      </w:pPr>
    </w:p>
    <w:sectPr w:rsidR="003464E7" w:rsidRPr="00A55684" w:rsidSect="003464E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E83" w:rsidRDefault="002B1E83" w:rsidP="00A55684">
      <w:pPr>
        <w:spacing w:after="0" w:line="240" w:lineRule="auto"/>
      </w:pPr>
      <w:r>
        <w:separator/>
      </w:r>
    </w:p>
  </w:endnote>
  <w:endnote w:type="continuationSeparator" w:id="1">
    <w:p w:rsidR="002B1E83" w:rsidRDefault="002B1E83" w:rsidP="00A556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E83" w:rsidRDefault="002B1E83" w:rsidP="00A55684">
      <w:pPr>
        <w:spacing w:after="0" w:line="240" w:lineRule="auto"/>
      </w:pPr>
      <w:r>
        <w:separator/>
      </w:r>
    </w:p>
  </w:footnote>
  <w:footnote w:type="continuationSeparator" w:id="1">
    <w:p w:rsidR="002B1E83" w:rsidRDefault="002B1E83" w:rsidP="00A556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0B1BC4"/>
    <w:rsid w:val="000B1BC4"/>
    <w:rsid w:val="002B1E83"/>
    <w:rsid w:val="002E0E88"/>
    <w:rsid w:val="003464E7"/>
    <w:rsid w:val="0057604A"/>
    <w:rsid w:val="00A55684"/>
    <w:rsid w:val="00B65940"/>
    <w:rsid w:val="00BD793A"/>
    <w:rsid w:val="00E516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BC4"/>
    <w:pPr>
      <w:jc w:val="both"/>
    </w:pPr>
    <w:rPr>
      <w:rFonts w:ascii="Calibri" w:eastAsiaTheme="minorEastAsia" w:hAnsi="Calibri"/>
      <w:sz w:val="20"/>
      <w:szCs w:val="20"/>
    </w:rPr>
  </w:style>
  <w:style w:type="paragraph" w:styleId="Heading1">
    <w:name w:val="heading 1"/>
    <w:basedOn w:val="Normal"/>
    <w:next w:val="Normal"/>
    <w:link w:val="Heading1Char"/>
    <w:uiPriority w:val="9"/>
    <w:qFormat/>
    <w:rsid w:val="000B1BC4"/>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BC4"/>
    <w:rPr>
      <w:rFonts w:ascii="Calibri" w:eastAsiaTheme="minorEastAsia" w:hAnsi="Calibri"/>
      <w:smallCaps/>
      <w:spacing w:val="5"/>
      <w:sz w:val="32"/>
      <w:szCs w:val="32"/>
    </w:rPr>
  </w:style>
  <w:style w:type="paragraph" w:styleId="Caption">
    <w:name w:val="caption"/>
    <w:basedOn w:val="Normal"/>
    <w:next w:val="Normal"/>
    <w:uiPriority w:val="35"/>
    <w:unhideWhenUsed/>
    <w:qFormat/>
    <w:rsid w:val="000B1BC4"/>
    <w:rPr>
      <w:b/>
      <w:bCs/>
      <w:caps/>
      <w:sz w:val="16"/>
      <w:szCs w:val="18"/>
    </w:rPr>
  </w:style>
  <w:style w:type="table" w:styleId="LightShading">
    <w:name w:val="Light Shading"/>
    <w:basedOn w:val="TableNormal"/>
    <w:uiPriority w:val="60"/>
    <w:rsid w:val="000B1BC4"/>
    <w:pPr>
      <w:spacing w:after="0" w:line="240" w:lineRule="auto"/>
      <w:jc w:val="both"/>
    </w:pPr>
    <w:rPr>
      <w:rFonts w:ascii="Calibri" w:eastAsiaTheme="minorEastAsia" w:hAnsi="Calibri"/>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556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5684"/>
    <w:rPr>
      <w:rFonts w:ascii="Calibri" w:eastAsiaTheme="minorEastAsia" w:hAnsi="Calibri"/>
      <w:sz w:val="20"/>
      <w:szCs w:val="20"/>
    </w:rPr>
  </w:style>
  <w:style w:type="paragraph" w:styleId="Footer">
    <w:name w:val="footer"/>
    <w:basedOn w:val="Normal"/>
    <w:link w:val="FooterChar"/>
    <w:uiPriority w:val="99"/>
    <w:semiHidden/>
    <w:unhideWhenUsed/>
    <w:rsid w:val="00A556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5684"/>
    <w:rPr>
      <w:rFonts w:ascii="Calibri" w:eastAsiaTheme="minorEastAsia" w:hAnsi="Calibri"/>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Chkhatarashvili</dc:creator>
  <cp:lastModifiedBy>Katy Chkhatarashvili</cp:lastModifiedBy>
  <cp:revision>2</cp:revision>
  <dcterms:created xsi:type="dcterms:W3CDTF">2012-12-07T13:18:00Z</dcterms:created>
  <dcterms:modified xsi:type="dcterms:W3CDTF">2012-12-07T13:19:00Z</dcterms:modified>
</cp:coreProperties>
</file>