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2A" w:rsidRDefault="00D5402A" w:rsidP="00D5402A">
      <w:pPr>
        <w:pStyle w:val="Caption"/>
        <w:keepNext/>
      </w:pPr>
      <w:bookmarkStart w:id="0" w:name="_Ref322213686"/>
      <w:r>
        <w:t xml:space="preserve">Table </w:t>
      </w:r>
      <w:fldSimple w:instr=" SEQ Table \* ARABIC ">
        <w:r>
          <w:rPr>
            <w:noProof/>
          </w:rPr>
          <w:t>3</w:t>
        </w:r>
      </w:fldSimple>
      <w:bookmarkEnd w:id="0"/>
      <w:r>
        <w:t>Breadth, scope and depth of coverage of state funded health programs and health insurance</w:t>
      </w:r>
    </w:p>
    <w:tbl>
      <w:tblPr>
        <w:tblStyle w:val="LightList-Accent5"/>
        <w:tblW w:w="10548" w:type="dxa"/>
        <w:tblLook w:val="06A0"/>
      </w:tblPr>
      <w:tblGrid>
        <w:gridCol w:w="2718"/>
        <w:gridCol w:w="2160"/>
        <w:gridCol w:w="2790"/>
        <w:gridCol w:w="2880"/>
      </w:tblGrid>
      <w:tr w:rsidR="00D5402A" w:rsidRPr="00EA1FA8" w:rsidTr="00E550AC">
        <w:trPr>
          <w:cnfStyle w:val="100000000000"/>
        </w:trPr>
        <w:tc>
          <w:tcPr>
            <w:cnfStyle w:val="001000000000"/>
            <w:tcW w:w="2718" w:type="dxa"/>
          </w:tcPr>
          <w:p w:rsidR="00D5402A" w:rsidRPr="000A3DA8" w:rsidRDefault="00D5402A" w:rsidP="00E550AC">
            <w:pPr>
              <w:jc w:val="center"/>
              <w:rPr>
                <w:sz w:val="16"/>
                <w:szCs w:val="16"/>
              </w:rPr>
            </w:pPr>
            <w:r w:rsidRPr="000A3DA8">
              <w:rPr>
                <w:sz w:val="16"/>
                <w:szCs w:val="16"/>
              </w:rPr>
              <w:t>State vertical programs covering personal health services and State funded or subsidized  Insurance programs</w:t>
            </w:r>
          </w:p>
        </w:tc>
        <w:tc>
          <w:tcPr>
            <w:tcW w:w="2160" w:type="dxa"/>
          </w:tcPr>
          <w:p w:rsidR="00D5402A" w:rsidRPr="000A3DA8" w:rsidRDefault="00D5402A" w:rsidP="00E550AC">
            <w:pPr>
              <w:jc w:val="center"/>
              <w:cnfStyle w:val="1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Population Coverage </w:t>
            </w:r>
          </w:p>
        </w:tc>
        <w:tc>
          <w:tcPr>
            <w:tcW w:w="2790" w:type="dxa"/>
          </w:tcPr>
          <w:p w:rsidR="00D5402A" w:rsidRPr="000A3DA8" w:rsidRDefault="00D5402A" w:rsidP="00E550AC">
            <w:pPr>
              <w:jc w:val="center"/>
              <w:cnfStyle w:val="1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Service Coverage</w:t>
            </w:r>
          </w:p>
        </w:tc>
        <w:tc>
          <w:tcPr>
            <w:tcW w:w="2880" w:type="dxa"/>
          </w:tcPr>
          <w:p w:rsidR="00D5402A" w:rsidRPr="000A3DA8" w:rsidRDefault="00D5402A" w:rsidP="00E550AC">
            <w:pPr>
              <w:jc w:val="center"/>
              <w:cnfStyle w:val="1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 Coverage</w:t>
            </w:r>
            <w:r w:rsidRPr="000A3DA8">
              <w:rPr>
                <w:sz w:val="16"/>
                <w:szCs w:val="16"/>
              </w:rPr>
              <w:t xml:space="preserve"> (covered by the state program)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Pr="00EA1FA8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Urgent care </w:t>
            </w:r>
            <w:r w:rsidRPr="00EA1FA8">
              <w:rPr>
                <w:sz w:val="16"/>
                <w:szCs w:val="16"/>
              </w:rPr>
              <w:t xml:space="preserve"> (population over 60)</w:t>
            </w:r>
          </w:p>
        </w:tc>
        <w:tc>
          <w:tcPr>
            <w:tcW w:w="216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830 thousand </w:t>
            </w:r>
            <w:r>
              <w:rPr>
                <w:sz w:val="16"/>
                <w:szCs w:val="16"/>
              </w:rPr>
              <w:t xml:space="preserve">- </w:t>
            </w:r>
            <w:r w:rsidRPr="00C01511">
              <w:rPr>
                <w:b/>
                <w:sz w:val="16"/>
                <w:szCs w:val="16"/>
              </w:rPr>
              <w:t xml:space="preserve">about 19 </w:t>
            </w:r>
            <w:r>
              <w:rPr>
                <w:b/>
                <w:sz w:val="16"/>
                <w:szCs w:val="16"/>
              </w:rPr>
              <w:t>percent</w:t>
            </w:r>
            <w:r w:rsidRPr="00C01511">
              <w:rPr>
                <w:b/>
                <w:sz w:val="16"/>
                <w:szCs w:val="16"/>
              </w:rPr>
              <w:t xml:space="preserve"> of the total population</w:t>
            </w:r>
          </w:p>
        </w:tc>
        <w:tc>
          <w:tcPr>
            <w:tcW w:w="279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Defined inpatient urgent conditions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First 6 days of ICU care, 75 </w:t>
            </w:r>
            <w:r>
              <w:rPr>
                <w:sz w:val="16"/>
                <w:szCs w:val="16"/>
              </w:rPr>
              <w:t>percent</w:t>
            </w:r>
            <w:r w:rsidRPr="00EA1FA8">
              <w:rPr>
                <w:sz w:val="16"/>
                <w:szCs w:val="16"/>
              </w:rPr>
              <w:t xml:space="preserve"> of actual cost for predefined conditions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Pr="00EA1FA8" w:rsidRDefault="00D5402A" w:rsidP="00E550AC">
            <w:pPr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Urgent and hospital care for children less than 3 years of age</w:t>
            </w:r>
          </w:p>
        </w:tc>
        <w:tc>
          <w:tcPr>
            <w:tcW w:w="216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220 thousand</w:t>
            </w:r>
            <w:r>
              <w:rPr>
                <w:sz w:val="16"/>
                <w:szCs w:val="16"/>
              </w:rPr>
              <w:t xml:space="preserve"> - </w:t>
            </w:r>
            <w:r w:rsidRPr="00C01511">
              <w:rPr>
                <w:b/>
                <w:sz w:val="16"/>
                <w:szCs w:val="16"/>
              </w:rPr>
              <w:t xml:space="preserve">5 </w:t>
            </w:r>
            <w:r>
              <w:rPr>
                <w:b/>
                <w:sz w:val="16"/>
                <w:szCs w:val="16"/>
              </w:rPr>
              <w:t>percent</w:t>
            </w:r>
          </w:p>
        </w:tc>
        <w:tc>
          <w:tcPr>
            <w:tcW w:w="279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Defined urgent and inpatient conditions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Full cost in case of critical conditions and population residing in high mountainous areas; 80 </w:t>
            </w:r>
            <w:r>
              <w:rPr>
                <w:sz w:val="16"/>
                <w:szCs w:val="16"/>
              </w:rPr>
              <w:t>percent</w:t>
            </w:r>
            <w:r w:rsidRPr="00EA1FA8">
              <w:rPr>
                <w:sz w:val="16"/>
                <w:szCs w:val="16"/>
              </w:rPr>
              <w:t xml:space="preserve">  of actual cost for predefined inpatient conditions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Pr="00EA1FA8" w:rsidRDefault="00D5402A" w:rsidP="00E550AC">
            <w:pPr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General outpatient c</w:t>
            </w:r>
            <w:r>
              <w:rPr>
                <w:sz w:val="16"/>
                <w:szCs w:val="16"/>
              </w:rPr>
              <w:t xml:space="preserve">are </w:t>
            </w:r>
          </w:p>
        </w:tc>
        <w:tc>
          <w:tcPr>
            <w:tcW w:w="216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Little over 1 million – about 22 </w:t>
            </w:r>
            <w:r>
              <w:rPr>
                <w:sz w:val="16"/>
                <w:szCs w:val="16"/>
              </w:rPr>
              <w:t>percent</w:t>
            </w:r>
            <w:r w:rsidRPr="00EA1FA8">
              <w:rPr>
                <w:sz w:val="16"/>
                <w:szCs w:val="16"/>
              </w:rPr>
              <w:t xml:space="preserve"> (children under-6, elderly over 60, oncologic and diabetes patients)</w:t>
            </w:r>
          </w:p>
        </w:tc>
        <w:tc>
          <w:tcPr>
            <w:tcW w:w="279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Visits to PHC physician/nurse, 4 home visits, immunization, limited list of express lab tests, management of the chronic diseases  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Pr="00EA1FA8" w:rsidRDefault="00D5402A" w:rsidP="00E550AC">
            <w:pPr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Rural outpatient care “rural physician”</w:t>
            </w:r>
          </w:p>
        </w:tc>
        <w:tc>
          <w:tcPr>
            <w:tcW w:w="216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Little over 2 million – </w:t>
            </w:r>
            <w:r w:rsidRPr="00C01511">
              <w:rPr>
                <w:b/>
                <w:sz w:val="16"/>
                <w:szCs w:val="16"/>
              </w:rPr>
              <w:t xml:space="preserve">about 47 </w:t>
            </w:r>
            <w:r>
              <w:rPr>
                <w:b/>
                <w:sz w:val="16"/>
                <w:szCs w:val="16"/>
              </w:rPr>
              <w:t>percent</w:t>
            </w:r>
          </w:p>
        </w:tc>
        <w:tc>
          <w:tcPr>
            <w:tcW w:w="279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 xml:space="preserve">Visits to PHC physician/nurse, 4 home visits, immunization, limited list of express lab tests, management of the chronic diseases  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Fully covered/</w:t>
            </w:r>
            <w:r w:rsidRPr="00EA1FA8">
              <w:rPr>
                <w:sz w:val="16"/>
                <w:szCs w:val="16"/>
              </w:rPr>
              <w:t>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Maternal Child Health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Women of reproductive age and children 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prenatal visits for all.  Defined list of tests, extended care for high risk pregnancies and complicated delivery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Upper limit from 833 to 3000 GEL for complicated pregnancy and delivery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Pr="00EA1FA8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care  (ambulance)</w:t>
            </w:r>
          </w:p>
        </w:tc>
        <w:tc>
          <w:tcPr>
            <w:tcW w:w="216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Ambulance service, medical transportation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Referral program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Medical needs during emergency situations, MIP eligible beneficiaries not yet insured; individual cases 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Cardiac surgery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Defined conditions. Waiting list for planned interventions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Fully covered for children less than 18 years of age. From 50 to 75 percent of the predefined price for each type of surgery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 of Oncologic diseases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Defined conditions. Outpatient and inpatient care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Fully covered for children less than 18 years of age. 70 percent of the predefined price of defined interventions with upper limits (e.g. for chemotherapy)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Dialysis and renal transplantation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Defined conditions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TB control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DOTS, outpatient and inpatient care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Defined outpatient and inpatient care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programs (war veterans, draftees, etc.)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Small groups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Defined list of outpatient and inpatient care </w:t>
            </w:r>
          </w:p>
        </w:tc>
        <w:tc>
          <w:tcPr>
            <w:tcW w:w="2880" w:type="dxa"/>
          </w:tcPr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  <w:r w:rsidRPr="00EA1FA8">
              <w:rPr>
                <w:sz w:val="16"/>
                <w:szCs w:val="16"/>
              </w:rPr>
              <w:t>Fully covered/no co-payment</w:t>
            </w: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MIP insurance 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About 820 thousand poor below eligibility threshold 70,000, about 100 thousand above 100,000 score; about 95 thousand other groups (teachers, IDPs, orphans, etc.) – total about 1 million, or </w:t>
            </w:r>
            <w:r w:rsidRPr="00C01511">
              <w:rPr>
                <w:b/>
                <w:sz w:val="16"/>
                <w:szCs w:val="16"/>
              </w:rPr>
              <w:t xml:space="preserve">22 </w:t>
            </w:r>
            <w:r>
              <w:rPr>
                <w:b/>
                <w:sz w:val="16"/>
                <w:szCs w:val="16"/>
              </w:rPr>
              <w:t>percent</w:t>
            </w:r>
            <w:r w:rsidRPr="00C01511">
              <w:rPr>
                <w:b/>
                <w:sz w:val="16"/>
                <w:szCs w:val="16"/>
              </w:rPr>
              <w:t xml:space="preserve"> of population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Comprehensive defined list of urgent care, critical care and inpatient services; defined list of outpatient services, outpatient drug benefit from essential drug list  </w:t>
            </w:r>
          </w:p>
        </w:tc>
        <w:tc>
          <w:tcPr>
            <w:tcW w:w="288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Annual limits: 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Planned inpatient services – 15,000 GEL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Chemotherapy and radiation therapy – 12,000 GEL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Delivery – 400 GEL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Outpatient drugs – 50 GEL, with 50 percent co-payment</w:t>
            </w:r>
          </w:p>
          <w:p w:rsidR="00D5402A" w:rsidRPr="00EA1FA8" w:rsidRDefault="00D5402A" w:rsidP="00E550AC">
            <w:pPr>
              <w:cnfStyle w:val="000000000000"/>
              <w:rPr>
                <w:sz w:val="16"/>
                <w:szCs w:val="16"/>
              </w:rPr>
            </w:pPr>
          </w:p>
        </w:tc>
      </w:tr>
      <w:tr w:rsidR="00D5402A" w:rsidRPr="00EA1FA8" w:rsidTr="00E550AC">
        <w:tc>
          <w:tcPr>
            <w:cnfStyle w:val="001000000000"/>
            <w:tcW w:w="2718" w:type="dxa"/>
          </w:tcPr>
          <w:p w:rsidR="00D5402A" w:rsidRDefault="00D5402A" w:rsidP="00E550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Affordable insurance*</w:t>
            </w:r>
          </w:p>
        </w:tc>
        <w:tc>
          <w:tcPr>
            <w:tcW w:w="216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125 thousand – </w:t>
            </w:r>
            <w:r w:rsidRPr="00C01511">
              <w:rPr>
                <w:b/>
                <w:sz w:val="16"/>
                <w:szCs w:val="16"/>
              </w:rPr>
              <w:t xml:space="preserve">2 </w:t>
            </w:r>
            <w:r>
              <w:rPr>
                <w:b/>
                <w:sz w:val="16"/>
                <w:szCs w:val="16"/>
              </w:rPr>
              <w:t>percent</w:t>
            </w:r>
          </w:p>
        </w:tc>
        <w:tc>
          <w:tcPr>
            <w:tcW w:w="279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Urgent outpatient and inpatient care and critical conditions. Outpatient services included in general outpatient care program</w:t>
            </w:r>
          </w:p>
        </w:tc>
        <w:tc>
          <w:tcPr>
            <w:tcW w:w="2880" w:type="dxa"/>
          </w:tcPr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Fully covered PHC.  Annual limits: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Urgent outpatient care – 300 GEL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Critical care from 1,000 to 5,000 GEL</w:t>
            </w:r>
          </w:p>
          <w:p w:rsidR="00D5402A" w:rsidRDefault="00D5402A" w:rsidP="00E550AC">
            <w:pPr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co-payment from 0-50 percent</w:t>
            </w:r>
          </w:p>
        </w:tc>
      </w:tr>
    </w:tbl>
    <w:p w:rsidR="00D5402A" w:rsidRDefault="00D5402A" w:rsidP="00D5402A">
      <w:pPr>
        <w:spacing w:after="0"/>
      </w:pPr>
      <w:r>
        <w:t>* 2010 data</w:t>
      </w:r>
    </w:p>
    <w:p w:rsidR="00D5402A" w:rsidRPr="00D62FAF" w:rsidRDefault="00D5402A" w:rsidP="00D5402A">
      <w:pPr>
        <w:spacing w:after="0"/>
        <w:rPr>
          <w:i/>
        </w:rPr>
      </w:pPr>
      <w:r w:rsidRPr="00D62FAF">
        <w:rPr>
          <w:i/>
        </w:rPr>
        <w:t>Source: compiled by authors</w:t>
      </w:r>
    </w:p>
    <w:p w:rsidR="003464E7" w:rsidRDefault="003464E7"/>
    <w:sectPr w:rsidR="003464E7" w:rsidSect="003464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5402A"/>
    <w:rsid w:val="002E0E88"/>
    <w:rsid w:val="003464E7"/>
    <w:rsid w:val="0057604A"/>
    <w:rsid w:val="00B65940"/>
    <w:rsid w:val="00BD793A"/>
    <w:rsid w:val="00D5402A"/>
    <w:rsid w:val="00E5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2A"/>
    <w:pPr>
      <w:jc w:val="both"/>
    </w:pPr>
    <w:rPr>
      <w:rFonts w:ascii="Calibri" w:eastAsiaTheme="minorEastAsia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5402A"/>
    <w:rPr>
      <w:b/>
      <w:bCs/>
      <w:caps/>
      <w:sz w:val="16"/>
      <w:szCs w:val="18"/>
    </w:rPr>
  </w:style>
  <w:style w:type="table" w:styleId="LightList-Accent5">
    <w:name w:val="Light List Accent 5"/>
    <w:basedOn w:val="TableNormal"/>
    <w:uiPriority w:val="61"/>
    <w:rsid w:val="00D5402A"/>
    <w:pPr>
      <w:spacing w:after="0" w:line="240" w:lineRule="auto"/>
      <w:jc w:val="both"/>
    </w:pPr>
    <w:rPr>
      <w:rFonts w:ascii="Calibri" w:eastAsiaTheme="minorEastAsia" w:hAnsi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Chkhatarashvili</dc:creator>
  <cp:lastModifiedBy>Katy Chkhatarashvili</cp:lastModifiedBy>
  <cp:revision>1</cp:revision>
  <dcterms:created xsi:type="dcterms:W3CDTF">2012-12-07T13:20:00Z</dcterms:created>
  <dcterms:modified xsi:type="dcterms:W3CDTF">2012-12-07T13:20:00Z</dcterms:modified>
</cp:coreProperties>
</file>