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E83" w:rsidRPr="001F483D" w:rsidRDefault="009D3E83" w:rsidP="009D3E83">
      <w:pPr>
        <w:pStyle w:val="Heading2"/>
        <w:rPr>
          <w:sz w:val="32"/>
        </w:rPr>
      </w:pPr>
      <w:r>
        <w:rPr>
          <w:i/>
          <w:noProof/>
          <w:sz w:val="32"/>
          <w:lang w:eastAsia="en-AU"/>
        </w:rPr>
        <mc:AlternateContent>
          <mc:Choice Requires="wps">
            <w:drawing>
              <wp:anchor distT="0" distB="0" distL="114300" distR="114300" simplePos="0" relativeHeight="251659264" behindDoc="1" locked="0" layoutInCell="1" allowOverlap="1" wp14:anchorId="4325151B" wp14:editId="00A791E4">
                <wp:simplePos x="0" y="0"/>
                <wp:positionH relativeFrom="column">
                  <wp:posOffset>-66675</wp:posOffset>
                </wp:positionH>
                <wp:positionV relativeFrom="paragraph">
                  <wp:posOffset>-66675</wp:posOffset>
                </wp:positionV>
                <wp:extent cx="5876925" cy="7029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876925" cy="7029450"/>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6" style="position:absolute;margin-left:-5.25pt;margin-top:-5.25pt;width:462.75pt;height:55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" fillcolor="#f2f2f2 [3052]" strokecolor="#243f60 [1604]" strokeweight="2pt"/>
            </w:pict>
          </mc:Fallback>
        </mc:AlternateContent>
      </w:r>
      <w:r w:rsidRPr="001F483D">
        <w:rPr>
          <w:i/>
          <w:sz w:val="32"/>
        </w:rPr>
        <w:t>Environments for Health (E4H)</w:t>
      </w:r>
      <w:r w:rsidRPr="001F483D">
        <w:rPr>
          <w:sz w:val="32"/>
        </w:rPr>
        <w:t xml:space="preserve"> policy effectiveness</w:t>
      </w:r>
    </w:p>
    <w:p w:rsidR="009D3E83" w:rsidRPr="001F483D" w:rsidRDefault="009D3E83" w:rsidP="009D3E83">
      <w:pPr>
        <w:rPr>
          <w:rFonts w:ascii="Cambria" w:hAnsi="Cambria"/>
          <w:sz w:val="20"/>
        </w:rPr>
      </w:pPr>
      <w:r w:rsidRPr="001F483D">
        <w:rPr>
          <w:rFonts w:ascii="Cambria" w:hAnsi="Cambria"/>
          <w:sz w:val="20"/>
        </w:rPr>
        <w:t xml:space="preserve">In 2001 the government of the Australian State of Victoria adopted its </w:t>
      </w:r>
      <w:r w:rsidRPr="001F483D">
        <w:rPr>
          <w:rFonts w:ascii="Cambria" w:hAnsi="Cambria"/>
          <w:i/>
          <w:sz w:val="20"/>
        </w:rPr>
        <w:t>Environments for Health (E4H)</w:t>
      </w:r>
      <w:r w:rsidRPr="001F483D">
        <w:rPr>
          <w:rFonts w:ascii="Cambria" w:hAnsi="Cambria"/>
          <w:sz w:val="20"/>
        </w:rPr>
        <w:t xml:space="preserve"> policy framework</w:t>
      </w:r>
      <w:r>
        <w:rPr>
          <w:rFonts w:ascii="Cambria" w:hAnsi="Cambria"/>
          <w:sz w:val="20"/>
        </w:rPr>
        <w:t xml:space="preserve"> </w:t>
      </w:r>
      <w:r>
        <w:rPr>
          <w:rFonts w:ascii="Cambria" w:hAnsi="Cambria"/>
          <w:sz w:val="20"/>
        </w:rPr>
        <w:fldChar w:fldCharType="begin"/>
      </w:r>
      <w:r>
        <w:rPr>
          <w:rFonts w:ascii="Cambria" w:hAnsi="Cambria"/>
          <w:sz w:val="20"/>
        </w:rPr>
        <w:instrText xml:space="preserve"> ADDIN EN.CITE &lt;EndNote&gt;&lt;Cite&gt;&lt;Author&gt;Department of Human Services&lt;/Author&gt;&lt;Year&gt;2001&lt;/Year&gt;&lt;RecNum&gt;2086&lt;/RecNum&gt;&lt;DisplayText&gt;[63]&lt;/DisplayText&gt;&lt;record&gt;&lt;rec-number&gt;2086&lt;/rec-number&gt;&lt;foreign-keys&gt;&lt;key app="EN" db-id="2rxvzwsvn2rfvge2at7p9pxw9wsw5zs2f0z5" timestamp="1406573955"&gt;2086&lt;/key&gt;&lt;/foreign-keys&gt;&lt;ref-type name="Book"&gt;6&lt;/ref-type&gt;&lt;contributors&gt;&lt;authors&gt;&lt;author&gt;Department of Human Services,&lt;/author&gt;&lt;/authors&gt;&lt;/contributors&gt;&lt;titles&gt;&lt;title&gt;Environments for Health: Promoting health and wellbeing through built, social, economic and natural environments. Municipal Public Health Planning Framework&lt;/title&gt;&lt;/titles&gt;&lt;dates&gt;&lt;year&gt;2001&lt;/year&gt;&lt;/dates&gt;&lt;pub-location&gt;Melbourne, Victoria&lt;/pub-location&gt;&lt;publisher&gt;Department of Human Services&lt;/publisher&gt;&lt;urls&gt;&lt;/urls&gt;&lt;/record&gt;&lt;/Cite&gt;&lt;/EndNote&gt;</w:instrText>
      </w:r>
      <w:r>
        <w:rPr>
          <w:rFonts w:ascii="Cambria" w:hAnsi="Cambria"/>
          <w:sz w:val="20"/>
        </w:rPr>
        <w:fldChar w:fldCharType="separate"/>
      </w:r>
      <w:r>
        <w:rPr>
          <w:rFonts w:ascii="Cambria" w:hAnsi="Cambria"/>
          <w:noProof/>
          <w:sz w:val="20"/>
        </w:rPr>
        <w:t>[63]</w:t>
      </w:r>
      <w:r>
        <w:rPr>
          <w:rFonts w:ascii="Cambria" w:hAnsi="Cambria"/>
          <w:sz w:val="20"/>
        </w:rPr>
        <w:fldChar w:fldCharType="end"/>
      </w:r>
      <w:r w:rsidRPr="001F483D">
        <w:rPr>
          <w:rFonts w:ascii="Cambria" w:hAnsi="Cambria"/>
          <w:sz w:val="20"/>
        </w:rPr>
        <w:t>. It connects with legislation that requires local governments in the State to develop Municipal Public Health Plans (MPHPs). E4H provides evidence-based guidance for the development of local policy that addresses social and environmental determinants of health in the overlapping domains of the social, built, economic and natural environments. E4H explicitly embraces a social model of health, and the policy package provides local government with a comprehensive evidence base, capacity building for local health bureaucrats and communities, and exemplars of policy action.</w:t>
      </w:r>
    </w:p>
    <w:p w:rsidR="009D3E83" w:rsidRPr="001F483D" w:rsidRDefault="009D3E83" w:rsidP="009D3E83">
      <w:pPr>
        <w:rPr>
          <w:rFonts w:ascii="Cambria" w:hAnsi="Cambria"/>
          <w:sz w:val="20"/>
        </w:rPr>
      </w:pPr>
      <w:r w:rsidRPr="001F483D">
        <w:rPr>
          <w:rFonts w:ascii="Cambria" w:hAnsi="Cambria"/>
          <w:sz w:val="20"/>
        </w:rPr>
        <w:t>Five years after adoption the Victorian Department of Health commissioned an evaluation into E4H policy effectiveness. The evaluation objectives were to assess the extent to which the Environments for Health Framework had:</w:t>
      </w:r>
    </w:p>
    <w:p w:rsidR="009D3E83" w:rsidRPr="001F483D" w:rsidRDefault="009D3E83" w:rsidP="009D3E83">
      <w:pPr>
        <w:pStyle w:val="ListParagraph1"/>
        <w:numPr>
          <w:ilvl w:val="0"/>
          <w:numId w:val="1"/>
        </w:numPr>
        <w:rPr>
          <w:rFonts w:ascii="Cambria" w:hAnsi="Cambria"/>
          <w:sz w:val="20"/>
        </w:rPr>
      </w:pPr>
      <w:r w:rsidRPr="001F483D">
        <w:rPr>
          <w:rFonts w:ascii="Cambria" w:hAnsi="Cambria"/>
          <w:sz w:val="20"/>
        </w:rPr>
        <w:t>Been incorporated by local governments in their policies and practices;</w:t>
      </w:r>
    </w:p>
    <w:p w:rsidR="009D3E83" w:rsidRPr="001F483D" w:rsidRDefault="009D3E83" w:rsidP="009D3E83">
      <w:pPr>
        <w:pStyle w:val="ListParagraph1"/>
        <w:numPr>
          <w:ilvl w:val="0"/>
          <w:numId w:val="1"/>
        </w:numPr>
        <w:rPr>
          <w:rFonts w:ascii="Cambria" w:hAnsi="Cambria"/>
          <w:sz w:val="20"/>
        </w:rPr>
      </w:pPr>
      <w:r w:rsidRPr="001F483D">
        <w:rPr>
          <w:rFonts w:ascii="Cambria" w:hAnsi="Cambria"/>
          <w:sz w:val="20"/>
        </w:rPr>
        <w:t>Contributed to greater consistency and quality in the scope and approach of municipal public health planning across the state;</w:t>
      </w:r>
    </w:p>
    <w:p w:rsidR="009D3E83" w:rsidRPr="001F483D" w:rsidRDefault="009D3E83" w:rsidP="009D3E83">
      <w:pPr>
        <w:pStyle w:val="ListParagraph1"/>
        <w:numPr>
          <w:ilvl w:val="0"/>
          <w:numId w:val="1"/>
        </w:numPr>
        <w:rPr>
          <w:rFonts w:ascii="Cambria" w:hAnsi="Cambria"/>
          <w:sz w:val="20"/>
        </w:rPr>
      </w:pPr>
      <w:r w:rsidRPr="001F483D">
        <w:rPr>
          <w:rFonts w:ascii="Cambria" w:hAnsi="Cambria"/>
          <w:sz w:val="20"/>
        </w:rPr>
        <w:t>Led to the integration of municipal public health plans (MPHPs) with other council plans;</w:t>
      </w:r>
    </w:p>
    <w:p w:rsidR="009D3E83" w:rsidRPr="001F483D" w:rsidRDefault="009D3E83" w:rsidP="009D3E83">
      <w:pPr>
        <w:pStyle w:val="ListParagraph1"/>
        <w:numPr>
          <w:ilvl w:val="0"/>
          <w:numId w:val="1"/>
        </w:numPr>
        <w:rPr>
          <w:rFonts w:ascii="Cambria" w:hAnsi="Cambria"/>
          <w:sz w:val="20"/>
        </w:rPr>
      </w:pPr>
      <w:r w:rsidRPr="001F483D">
        <w:rPr>
          <w:rFonts w:ascii="Cambria" w:hAnsi="Cambria"/>
          <w:sz w:val="20"/>
        </w:rPr>
        <w:t>Increased the level of understanding among appropriate local government staff of the impact of the social, economic, natural and built environments on health and wellbeing;</w:t>
      </w:r>
    </w:p>
    <w:p w:rsidR="009D3E83" w:rsidRPr="001F483D" w:rsidRDefault="009D3E83" w:rsidP="009D3E83">
      <w:pPr>
        <w:pStyle w:val="ListParagraph1"/>
        <w:numPr>
          <w:ilvl w:val="0"/>
          <w:numId w:val="1"/>
        </w:numPr>
        <w:rPr>
          <w:rFonts w:ascii="Cambria" w:hAnsi="Cambria"/>
          <w:sz w:val="20"/>
        </w:rPr>
      </w:pPr>
      <w:r w:rsidRPr="001F483D">
        <w:rPr>
          <w:rFonts w:ascii="Cambria" w:hAnsi="Cambria"/>
          <w:sz w:val="20"/>
        </w:rPr>
        <w:t>Created additional opportunities for health gain through strengthened intersectoral partnerships to address the social determinants of health; and</w:t>
      </w:r>
    </w:p>
    <w:p w:rsidR="009D3E83" w:rsidRPr="001F483D" w:rsidRDefault="009D3E83" w:rsidP="009D3E83">
      <w:pPr>
        <w:pStyle w:val="ListParagraph1"/>
        <w:numPr>
          <w:ilvl w:val="0"/>
          <w:numId w:val="1"/>
        </w:numPr>
        <w:rPr>
          <w:rFonts w:ascii="Cambria" w:hAnsi="Cambria"/>
          <w:sz w:val="20"/>
        </w:rPr>
      </w:pPr>
      <w:r w:rsidRPr="001F483D">
        <w:rPr>
          <w:rFonts w:ascii="Cambria" w:hAnsi="Cambria"/>
          <w:sz w:val="20"/>
        </w:rPr>
        <w:t>Been supported effectively by the Department of Human Services and other sta</w:t>
      </w:r>
      <w:r>
        <w:rPr>
          <w:rFonts w:ascii="Cambria" w:hAnsi="Cambria"/>
          <w:sz w:val="20"/>
        </w:rPr>
        <w:t xml:space="preserve">keholders </w:t>
      </w:r>
      <w:r>
        <w:rPr>
          <w:rFonts w:ascii="Cambria" w:hAnsi="Cambria"/>
          <w:sz w:val="20"/>
        </w:rPr>
        <w:fldChar w:fldCharType="begin"/>
      </w:r>
      <w:r>
        <w:rPr>
          <w:rFonts w:ascii="Cambria" w:hAnsi="Cambria"/>
          <w:sz w:val="20"/>
        </w:rPr>
        <w:instrText xml:space="preserve"> ADDIN EN.CITE &lt;EndNote&gt;&lt;Cite&gt;&lt;Author&gt;de Leeuw&lt;/Author&gt;&lt;Year&gt;2006&lt;/Year&gt;&lt;RecNum&gt;2087&lt;/RecNum&gt;&lt;DisplayText&gt;[64]&lt;/DisplayText&gt;&lt;record&gt;&lt;rec-number&gt;2087&lt;/rec-number&gt;&lt;foreign-keys&gt;&lt;key app="EN" db-id="2rxvzwsvn2rfvge2at7p9pxw9wsw5zs2f0z5" timestamp="1406574053"&gt;2087&lt;/key&gt;&lt;/foreign-keys&gt;&lt;ref-type name="Book"&gt;6&lt;/ref-type&gt;&lt;contributors&gt;&lt;authors&gt;&lt;author&gt;de Leeuw, E.&lt;/author&gt;&lt;author&gt;Butterworth, I.&lt;/author&gt;&lt;author&gt;Garrard, J.&lt;/author&gt;&lt;author&gt;Palermo, J.&lt;/author&gt;&lt;author&gt;Godbold, T.&lt;/author&gt;&lt;author&gt;Tacticos, T.&lt;/author&gt;&lt;/authors&gt;&lt;/contributors&gt;&lt;titles&gt;&lt;title&gt;Evaluation of the Environments for Health Framework&lt;/title&gt;&lt;/titles&gt;&lt;pages&gt;68&lt;/pages&gt;&lt;dates&gt;&lt;year&gt;2006&lt;/year&gt;&lt;/dates&gt;&lt;pub-location&gt;Melbourne, Victoria&lt;/pub-location&gt;&lt;publisher&gt;Deakin University and the University of Melbourne&lt;/publisher&gt;&lt;urls&gt;&lt;/urls&gt;&lt;/record&gt;&lt;/Cite&gt;&lt;/EndNote&gt;</w:instrText>
      </w:r>
      <w:r>
        <w:rPr>
          <w:rFonts w:ascii="Cambria" w:hAnsi="Cambria"/>
          <w:sz w:val="20"/>
        </w:rPr>
        <w:fldChar w:fldCharType="separate"/>
      </w:r>
      <w:r>
        <w:rPr>
          <w:rFonts w:ascii="Cambria" w:hAnsi="Cambria"/>
          <w:noProof/>
          <w:sz w:val="20"/>
        </w:rPr>
        <w:t>[64]</w:t>
      </w:r>
      <w:r>
        <w:rPr>
          <w:rFonts w:ascii="Cambria" w:hAnsi="Cambria"/>
          <w:sz w:val="20"/>
        </w:rPr>
        <w:fldChar w:fldCharType="end"/>
      </w:r>
      <w:r w:rsidRPr="001F483D">
        <w:rPr>
          <w:rFonts w:ascii="Cambria" w:hAnsi="Cambria"/>
          <w:sz w:val="20"/>
        </w:rPr>
        <w:t>.</w:t>
      </w:r>
    </w:p>
    <w:p w:rsidR="009D3E83" w:rsidRPr="001F483D" w:rsidRDefault="009D3E83" w:rsidP="009D3E83">
      <w:pPr>
        <w:rPr>
          <w:rFonts w:ascii="Cambria" w:hAnsi="Cambria"/>
          <w:sz w:val="20"/>
        </w:rPr>
      </w:pPr>
      <w:r w:rsidRPr="001F483D">
        <w:rPr>
          <w:rFonts w:ascii="Cambria" w:hAnsi="Cambria"/>
          <w:sz w:val="20"/>
        </w:rPr>
        <w:t>The evaluation objectives were the outcome of negotiations between a range of stakeholders, including the Department of Human Services, local governments, and research sector representatives. The consequence was that hybridization of a number of political theories was required in a realist evaluation framewo</w:t>
      </w:r>
      <w:r>
        <w:rPr>
          <w:rFonts w:ascii="Cambria" w:hAnsi="Cambria"/>
          <w:sz w:val="20"/>
        </w:rPr>
        <w:t xml:space="preserve">rk </w:t>
      </w:r>
      <w:r>
        <w:rPr>
          <w:rFonts w:ascii="Cambria" w:hAnsi="Cambria"/>
          <w:sz w:val="20"/>
        </w:rPr>
        <w:fldChar w:fldCharType="begin"/>
      </w:r>
      <w:r>
        <w:rPr>
          <w:rFonts w:ascii="Cambria" w:hAnsi="Cambria"/>
          <w:sz w:val="20"/>
        </w:rPr>
        <w:instrText xml:space="preserve"> ADDIN EN.CITE &lt;EndNote&gt;&lt;Cite&gt;&lt;Author&gt;Pawson&lt;/Author&gt;&lt;Year&gt;1997&lt;/Year&gt;&lt;RecNum&gt;2094&lt;/RecNum&gt;&lt;DisplayText&gt;[61]&lt;/DisplayText&gt;&lt;record&gt;&lt;rec-number&gt;2094&lt;/rec-number&gt;&lt;foreign-keys&gt;&lt;key app="EN" db-id="2rxvzwsvn2rfvge2at7p9pxw9wsw5zs2f0z5" timestamp="1406854034"&gt;2094&lt;/key&gt;&lt;/foreign-keys&gt;&lt;ref-type name="Book"&gt;6&lt;/ref-type&gt;&lt;contributors&gt;&lt;authors&gt;&lt;author&gt;Pawson, Ray&lt;/author&gt;&lt;author&gt;Tilley, Nick&lt;/author&gt;&lt;/authors&gt;&lt;/contributors&gt;&lt;titles&gt;&lt;title&gt;Realist evaluation&lt;/title&gt;&lt;/titles&gt;&lt;dates&gt;&lt;year&gt;1997&lt;/year&gt;&lt;/dates&gt;&lt;pub-location&gt;Thousand Oaks&lt;/pub-location&gt;&lt;publisher&gt;Sage&lt;/publisher&gt;&lt;urls&gt;&lt;/urls&gt;&lt;/record&gt;&lt;/Cite&gt;&lt;/EndNote&gt;</w:instrText>
      </w:r>
      <w:r>
        <w:rPr>
          <w:rFonts w:ascii="Cambria" w:hAnsi="Cambria"/>
          <w:sz w:val="20"/>
        </w:rPr>
        <w:fldChar w:fldCharType="separate"/>
      </w:r>
      <w:r>
        <w:rPr>
          <w:rFonts w:ascii="Cambria" w:hAnsi="Cambria"/>
          <w:noProof/>
          <w:sz w:val="20"/>
        </w:rPr>
        <w:t>[61]</w:t>
      </w:r>
      <w:r>
        <w:rPr>
          <w:rFonts w:ascii="Cambria" w:hAnsi="Cambria"/>
          <w:sz w:val="20"/>
        </w:rPr>
        <w:fldChar w:fldCharType="end"/>
      </w:r>
      <w:r w:rsidRPr="001F483D">
        <w:rPr>
          <w:rFonts w:ascii="Cambria" w:hAnsi="Cambria"/>
          <w:sz w:val="20"/>
        </w:rPr>
        <w:t>, notably policy diffusion theory</w:t>
      </w:r>
      <w:r>
        <w:rPr>
          <w:rFonts w:ascii="Cambria" w:hAnsi="Cambria"/>
          <w:sz w:val="20"/>
        </w:rPr>
        <w:t xml:space="preserve"> </w:t>
      </w:r>
      <w:r>
        <w:rPr>
          <w:rFonts w:ascii="Cambria" w:hAnsi="Cambria"/>
          <w:sz w:val="20"/>
        </w:rPr>
        <w:fldChar w:fldCharType="begin"/>
      </w:r>
      <w:r>
        <w:rPr>
          <w:rFonts w:ascii="Cambria" w:hAnsi="Cambria"/>
          <w:sz w:val="20"/>
        </w:rPr>
        <w:instrText xml:space="preserve"> ADDIN EN.CITE &lt;EndNote&gt;&lt;Cite&gt;&lt;Author&gt;Lindblom&lt;/Author&gt;&lt;Year&gt;1959&lt;/Year&gt;&lt;RecNum&gt;1073&lt;/RecNum&gt;&lt;DisplayText&gt;[65]&lt;/DisplayText&gt;&lt;record&gt;&lt;rec-number&gt;1073&lt;/rec-number&gt;&lt;foreign-keys&gt;&lt;key app="EN" db-id="2rxvzwsvn2rfvge2at7p9pxw9wsw5zs2f0z5" timestamp="1335550475"&gt;1073&lt;/key&gt;&lt;/foreign-keys&gt;&lt;ref-type name="Journal Article"&gt;17&lt;/ref-type&gt;&lt;contributors&gt;&lt;authors&gt;&lt;author&gt;Lindblom, Charles E. &lt;/author&gt;&lt;/authors&gt;&lt;/contributors&gt;&lt;titles&gt;&lt;title&gt;The science of ‘Muddling Through’&lt;/title&gt;&lt;secondary-title&gt;Public Administration Review&lt;/secondary-title&gt;&lt;/titles&gt;&lt;periodical&gt;&lt;full-title&gt;Public administration review&lt;/full-title&gt;&lt;/periodical&gt;&lt;pages&gt;79-88&lt;/pages&gt;&lt;volume&gt;19&lt;/volume&gt;&lt;dates&gt;&lt;year&gt;1959&lt;/year&gt;&lt;/dates&gt;&lt;urls&gt;&lt;/urls&gt;&lt;/record&gt;&lt;/Cite&gt;&lt;/EndNote&gt;</w:instrText>
      </w:r>
      <w:r>
        <w:rPr>
          <w:rFonts w:ascii="Cambria" w:hAnsi="Cambria"/>
          <w:sz w:val="20"/>
        </w:rPr>
        <w:fldChar w:fldCharType="separate"/>
      </w:r>
      <w:r>
        <w:rPr>
          <w:rFonts w:ascii="Cambria" w:hAnsi="Cambria"/>
          <w:noProof/>
          <w:sz w:val="20"/>
        </w:rPr>
        <w:t>[65]</w:t>
      </w:r>
      <w:r>
        <w:rPr>
          <w:rFonts w:ascii="Cambria" w:hAnsi="Cambria"/>
          <w:sz w:val="20"/>
        </w:rPr>
        <w:fldChar w:fldCharType="end"/>
      </w:r>
      <w:r>
        <w:rPr>
          <w:rFonts w:ascii="Cambria" w:hAnsi="Cambria"/>
          <w:sz w:val="20"/>
        </w:rPr>
        <w:t xml:space="preserve">, implementation theory </w:t>
      </w:r>
      <w:r>
        <w:rPr>
          <w:rFonts w:ascii="Cambria" w:hAnsi="Cambria"/>
          <w:sz w:val="20"/>
        </w:rPr>
        <w:fldChar w:fldCharType="begin"/>
      </w:r>
      <w:r>
        <w:rPr>
          <w:rFonts w:ascii="Cambria" w:hAnsi="Cambria"/>
          <w:sz w:val="20"/>
        </w:rPr>
        <w:instrText xml:space="preserve"> ADDIN EN.CITE &lt;EndNote&gt;&lt;Cite&gt;&lt;Author&gt;Mazmanian&lt;/Author&gt;&lt;Year&gt;1983&lt;/Year&gt;&lt;RecNum&gt;2093&lt;/RecNum&gt;&lt;DisplayText&gt;[42]&lt;/DisplayText&gt;&lt;record&gt;&lt;rec-number&gt;2093&lt;/rec-number&gt;&lt;foreign-keys&gt;&lt;key app="EN" db-id="2rxvzwsvn2rfvge2at7p9pxw9wsw5zs2f0z5" timestamp="1406852297"&gt;2093&lt;/key&gt;&lt;/foreign-keys&gt;&lt;ref-type name="Book"&gt;6&lt;/ref-type&gt;&lt;contributors&gt;&lt;authors&gt;&lt;author&gt;Mazmanian, D. A.&lt;/author&gt;&lt;author&gt;Sabatier, P. A.&lt;/author&gt;&lt;/authors&gt;&lt;/contributors&gt;&lt;titles&gt;&lt;title&gt;Implementation and public policy&lt;/title&gt;&lt;/titles&gt;&lt;dates&gt;&lt;year&gt;1983&lt;/year&gt;&lt;/dates&gt;&lt;pub-location&gt;Glenview, IL&lt;/pub-location&gt;&lt;publisher&gt;Scott Foresman&lt;/publisher&gt;&lt;urls&gt;&lt;/urls&gt;&lt;/record&gt;&lt;/Cite&gt;&lt;/EndNote&gt;</w:instrText>
      </w:r>
      <w:r>
        <w:rPr>
          <w:rFonts w:ascii="Cambria" w:hAnsi="Cambria"/>
          <w:sz w:val="20"/>
        </w:rPr>
        <w:fldChar w:fldCharType="separate"/>
      </w:r>
      <w:r>
        <w:rPr>
          <w:rFonts w:ascii="Cambria" w:hAnsi="Cambria"/>
          <w:noProof/>
          <w:sz w:val="20"/>
        </w:rPr>
        <w:t>[42]</w:t>
      </w:r>
      <w:r>
        <w:rPr>
          <w:rFonts w:ascii="Cambria" w:hAnsi="Cambria"/>
          <w:sz w:val="20"/>
        </w:rPr>
        <w:fldChar w:fldCharType="end"/>
      </w:r>
      <w:r>
        <w:rPr>
          <w:rFonts w:ascii="Cambria" w:hAnsi="Cambria"/>
          <w:sz w:val="20"/>
        </w:rPr>
        <w:t xml:space="preserve"> and Multiple Streams theory </w:t>
      </w:r>
      <w:r>
        <w:rPr>
          <w:rFonts w:ascii="Cambria" w:hAnsi="Cambria"/>
          <w:sz w:val="20"/>
        </w:rPr>
        <w:fldChar w:fldCharType="begin"/>
      </w:r>
      <w:r>
        <w:rPr>
          <w:rFonts w:ascii="Cambria" w:hAnsi="Cambria"/>
          <w:sz w:val="20"/>
        </w:rPr>
        <w:instrText xml:space="preserve"> ADDIN EN.CITE &lt;EndNote&gt;&lt;Cite&gt;&lt;Author&gt;Kingdon&lt;/Author&gt;&lt;Year&gt;1984&lt;/Year&gt;&lt;RecNum&gt;1380&lt;/RecNum&gt;&lt;DisplayText&gt;[27]&lt;/DisplayText&gt;&lt;record&gt;&lt;rec-number&gt;1380&lt;/rec-number&gt;&lt;foreign-keys&gt;&lt;key app="EN" db-id="2rxvzwsvn2rfvge2at7p9pxw9wsw5zs2f0z5" timestamp="1354118195"&gt;1380&lt;/key&gt;&lt;/foreign-keys&gt;&lt;ref-type name="Book"&gt;6&lt;/ref-type&gt;&lt;contributors&gt;&lt;authors&gt;&lt;author&gt;Kingdon, John W. &lt;/author&gt;&lt;/authors&gt;&lt;/contributors&gt;&lt;titles&gt;&lt;title&gt;Agendas, Alternatives and Public Policies&lt;/title&gt;&lt;/titles&gt;&lt;dates&gt;&lt;year&gt;1984&lt;/year&gt;&lt;/dates&gt;&lt;pub-location&gt;Boston&lt;/pub-location&gt;&lt;publisher&gt;Little, Brown and Co.&lt;/publisher&gt;&lt;urls&gt;&lt;/urls&gt;&lt;/record&gt;&lt;/Cite&gt;&lt;/EndNote&gt;</w:instrText>
      </w:r>
      <w:r>
        <w:rPr>
          <w:rFonts w:ascii="Cambria" w:hAnsi="Cambria"/>
          <w:sz w:val="20"/>
        </w:rPr>
        <w:fldChar w:fldCharType="separate"/>
      </w:r>
      <w:r>
        <w:rPr>
          <w:rFonts w:ascii="Cambria" w:hAnsi="Cambria"/>
          <w:noProof/>
          <w:sz w:val="20"/>
        </w:rPr>
        <w:t>[27]</w:t>
      </w:r>
      <w:r>
        <w:rPr>
          <w:rFonts w:ascii="Cambria" w:hAnsi="Cambria"/>
          <w:sz w:val="20"/>
        </w:rPr>
        <w:fldChar w:fldCharType="end"/>
      </w:r>
      <w:r w:rsidRPr="001F483D">
        <w:rPr>
          <w:rFonts w:ascii="Cambria" w:hAnsi="Cambria"/>
          <w:sz w:val="20"/>
        </w:rPr>
        <w:t>. The resulting methodology drew on a range of data collection strategies:</w:t>
      </w:r>
    </w:p>
    <w:p w:rsidR="009D3E83" w:rsidRPr="001F483D" w:rsidRDefault="009D3E83" w:rsidP="009D3E83">
      <w:pPr>
        <w:pStyle w:val="ListParagraph1"/>
        <w:numPr>
          <w:ilvl w:val="0"/>
          <w:numId w:val="2"/>
        </w:numPr>
        <w:rPr>
          <w:rFonts w:ascii="Cambria" w:hAnsi="Cambria"/>
          <w:sz w:val="20"/>
        </w:rPr>
      </w:pPr>
      <w:r w:rsidRPr="001F483D">
        <w:rPr>
          <w:rFonts w:ascii="Cambria" w:hAnsi="Cambria"/>
          <w:sz w:val="20"/>
        </w:rPr>
        <w:t>Document analysis of Victorian Local Government Authorities’ (LGAs) MPHPs (62 plans);</w:t>
      </w:r>
    </w:p>
    <w:p w:rsidR="009D3E83" w:rsidRPr="001F483D" w:rsidRDefault="009D3E83" w:rsidP="009D3E83">
      <w:pPr>
        <w:pStyle w:val="ListParagraph1"/>
        <w:numPr>
          <w:ilvl w:val="0"/>
          <w:numId w:val="2"/>
        </w:numPr>
        <w:rPr>
          <w:rFonts w:ascii="Cambria" w:hAnsi="Cambria"/>
          <w:sz w:val="20"/>
        </w:rPr>
      </w:pPr>
      <w:r w:rsidRPr="001F483D">
        <w:rPr>
          <w:rFonts w:ascii="Cambria" w:hAnsi="Cambria"/>
          <w:sz w:val="20"/>
        </w:rPr>
        <w:t>73 individual and group interviews with key stakeholders in municipal public health planning;</w:t>
      </w:r>
    </w:p>
    <w:p w:rsidR="009D3E83" w:rsidRPr="001F483D" w:rsidRDefault="009D3E83" w:rsidP="009D3E83">
      <w:pPr>
        <w:pStyle w:val="ListParagraph1"/>
        <w:numPr>
          <w:ilvl w:val="0"/>
          <w:numId w:val="2"/>
        </w:numPr>
        <w:rPr>
          <w:rFonts w:ascii="Cambria" w:hAnsi="Cambria"/>
          <w:sz w:val="20"/>
        </w:rPr>
      </w:pPr>
      <w:r w:rsidRPr="001F483D">
        <w:rPr>
          <w:rFonts w:ascii="Cambria" w:hAnsi="Cambria"/>
          <w:sz w:val="20"/>
        </w:rPr>
        <w:t>Online survey of individuals involved in municipal public health planning (councillors, council staff, non-council organisations and community members) (108 survey respondents);</w:t>
      </w:r>
    </w:p>
    <w:p w:rsidR="009D3E83" w:rsidRPr="001F483D" w:rsidRDefault="009D3E83" w:rsidP="009D3E83">
      <w:pPr>
        <w:pStyle w:val="ListParagraph1"/>
        <w:numPr>
          <w:ilvl w:val="0"/>
          <w:numId w:val="2"/>
        </w:numPr>
        <w:rPr>
          <w:rFonts w:ascii="Cambria" w:hAnsi="Cambria"/>
          <w:sz w:val="20"/>
        </w:rPr>
      </w:pPr>
      <w:r w:rsidRPr="001F483D">
        <w:rPr>
          <w:rFonts w:ascii="Cambria" w:hAnsi="Cambria"/>
          <w:sz w:val="20"/>
        </w:rPr>
        <w:t>Five community forums to present preliminary evaluation findings and obtain input from additional stakeholder groups.</w:t>
      </w:r>
    </w:p>
    <w:p w:rsidR="009D3E83" w:rsidRDefault="009D3E83" w:rsidP="009D3E83">
      <w:pPr>
        <w:rPr>
          <w:rFonts w:ascii="Cambria" w:hAnsi="Cambria"/>
          <w:sz w:val="20"/>
        </w:rPr>
      </w:pPr>
      <w:r w:rsidRPr="001F483D">
        <w:rPr>
          <w:rFonts w:ascii="Cambria" w:hAnsi="Cambria"/>
          <w:sz w:val="20"/>
        </w:rPr>
        <w:t>In summary</w:t>
      </w:r>
      <w:r>
        <w:rPr>
          <w:rFonts w:ascii="Cambria" w:hAnsi="Cambria"/>
          <w:sz w:val="20"/>
        </w:rPr>
        <w:t xml:space="preserve"> </w:t>
      </w:r>
      <w:r>
        <w:rPr>
          <w:rFonts w:ascii="Cambria" w:hAnsi="Cambria"/>
          <w:sz w:val="20"/>
        </w:rPr>
        <w:fldChar w:fldCharType="begin"/>
      </w:r>
      <w:r>
        <w:rPr>
          <w:rFonts w:ascii="Cambria" w:hAnsi="Cambria"/>
          <w:sz w:val="20"/>
        </w:rPr>
        <w:instrText xml:space="preserve"> ADDIN EN.CITE &lt;EndNote&gt;&lt;Cite&gt;&lt;Author&gt;Department of Health&lt;/Author&gt;&lt;Year&gt;2014&lt;/Year&gt;&lt;RecNum&gt;2089&lt;/RecNum&gt;&lt;DisplayText&gt;[66]&lt;/DisplayText&gt;&lt;record&gt;&lt;rec-number&gt;2089&lt;/rec-number&gt;&lt;foreign-keys&gt;&lt;key app="EN" db-id="2rxvzwsvn2rfvge2at7p9pxw9wsw5zs2f0z5" timestamp="1406574208"&gt;2089&lt;/key&gt;&lt;/foreign-keys&gt;&lt;ref-type name="Book"&gt;6&lt;/ref-type&gt;&lt;contributors&gt;&lt;authors&gt;&lt;author&gt;Department of Health,&lt;/author&gt;&lt;/authors&gt;&lt;/contributors&gt;&lt;titles&gt;&lt;title&gt;Local government planning for health and wellbeing - resources&lt;/title&gt;&lt;/titles&gt;&lt;dates&gt;&lt;year&gt;2014&lt;/year&gt;&lt;/dates&gt;&lt;pub-location&gt;http://www.health.vic.gov.au/localgov/resources.htm (last accessed 4 February 2014)&lt;/pub-location&gt;&lt;urls&gt;&lt;/urls&gt;&lt;/record&gt;&lt;/Cite&gt;&lt;/EndNote&gt;</w:instrText>
      </w:r>
      <w:r>
        <w:rPr>
          <w:rFonts w:ascii="Cambria" w:hAnsi="Cambria"/>
          <w:sz w:val="20"/>
        </w:rPr>
        <w:fldChar w:fldCharType="separate"/>
      </w:r>
      <w:r>
        <w:rPr>
          <w:rFonts w:ascii="Cambria" w:hAnsi="Cambria"/>
          <w:noProof/>
          <w:sz w:val="20"/>
        </w:rPr>
        <w:t>[66]</w:t>
      </w:r>
      <w:r>
        <w:rPr>
          <w:rFonts w:ascii="Cambria" w:hAnsi="Cambria"/>
          <w:sz w:val="20"/>
        </w:rPr>
        <w:fldChar w:fldCharType="end"/>
      </w:r>
      <w:r w:rsidRPr="001F483D">
        <w:rPr>
          <w:rFonts w:ascii="Cambria" w:hAnsi="Cambria"/>
          <w:sz w:val="20"/>
        </w:rPr>
        <w:t>, the evaluation found that E4H had substantially changed the way local governments think about health; improved the way local governments plan for health; and started sectoral integration. However, developing a MPHP was frequently seen as a – statutorily required – means in itself, and implementation was often lagging. The Department of Health consequently launched programmes for implementation knowledge co-creation, capacity-building and networking at the local level, case models for – especially economic – environments for health development, and political skills.</w:t>
      </w:r>
    </w:p>
    <w:p w:rsidR="009D3E83" w:rsidRDefault="009D3E83" w:rsidP="009D3E83">
      <w:pPr>
        <w:pStyle w:val="Caption"/>
      </w:pPr>
    </w:p>
    <w:p w:rsidR="009D3E83" w:rsidRPr="00913845" w:rsidRDefault="009D3E83" w:rsidP="009D3E83">
      <w:pPr>
        <w:pStyle w:val="Caption"/>
        <w:rPr>
          <w:rFonts w:ascii="Calibri" w:eastAsia="Calibri" w:hAnsi="Calibri" w:cs="Times New Roman"/>
        </w:rPr>
      </w:pPr>
      <w:proofErr w:type="gramStart"/>
      <w:r>
        <w:t>Table 3.</w:t>
      </w:r>
      <w:proofErr w:type="gramEnd"/>
      <w:r>
        <w:t xml:space="preserve"> </w:t>
      </w:r>
      <w:r w:rsidRPr="00C243E5">
        <w:t>Case study: Environments for Health policy research</w:t>
      </w:r>
    </w:p>
    <w:p w:rsidR="00F309ED" w:rsidRDefault="009D3E83">
      <w:bookmarkStart w:id="0" w:name="_GoBack"/>
      <w:bookmarkEnd w:id="0"/>
    </w:p>
    <w:sectPr w:rsidR="00F309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832A6"/>
    <w:multiLevelType w:val="hybridMultilevel"/>
    <w:tmpl w:val="AB123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DEC525B"/>
    <w:multiLevelType w:val="hybridMultilevel"/>
    <w:tmpl w:val="6CB6F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E83"/>
    <w:rsid w:val="005433D2"/>
    <w:rsid w:val="009D3E83"/>
    <w:rsid w:val="00EF3F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E83"/>
    <w:pPr>
      <w:spacing w:after="160" w:line="259" w:lineRule="auto"/>
    </w:pPr>
  </w:style>
  <w:style w:type="paragraph" w:styleId="Heading2">
    <w:name w:val="heading 2"/>
    <w:basedOn w:val="Normal"/>
    <w:next w:val="Normal"/>
    <w:link w:val="Heading2Char"/>
    <w:uiPriority w:val="9"/>
    <w:unhideWhenUsed/>
    <w:qFormat/>
    <w:rsid w:val="009D3E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3E83"/>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9D3E83"/>
    <w:pPr>
      <w:spacing w:after="200" w:line="240" w:lineRule="auto"/>
    </w:pPr>
    <w:rPr>
      <w:b/>
      <w:bCs/>
      <w:color w:val="4F81BD" w:themeColor="accent1"/>
      <w:sz w:val="18"/>
      <w:szCs w:val="18"/>
    </w:rPr>
  </w:style>
  <w:style w:type="paragraph" w:customStyle="1" w:styleId="ListParagraph1">
    <w:name w:val="List Paragraph1"/>
    <w:basedOn w:val="Normal"/>
    <w:next w:val="ListParagraph"/>
    <w:uiPriority w:val="34"/>
    <w:qFormat/>
    <w:rsid w:val="009D3E83"/>
    <w:pPr>
      <w:spacing w:after="200" w:line="276" w:lineRule="auto"/>
      <w:ind w:left="720"/>
      <w:contextualSpacing/>
    </w:pPr>
  </w:style>
  <w:style w:type="paragraph" w:styleId="ListParagraph">
    <w:name w:val="List Paragraph"/>
    <w:basedOn w:val="Normal"/>
    <w:uiPriority w:val="34"/>
    <w:qFormat/>
    <w:rsid w:val="009D3E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E83"/>
    <w:pPr>
      <w:spacing w:after="160" w:line="259" w:lineRule="auto"/>
    </w:pPr>
  </w:style>
  <w:style w:type="paragraph" w:styleId="Heading2">
    <w:name w:val="heading 2"/>
    <w:basedOn w:val="Normal"/>
    <w:next w:val="Normal"/>
    <w:link w:val="Heading2Char"/>
    <w:uiPriority w:val="9"/>
    <w:unhideWhenUsed/>
    <w:qFormat/>
    <w:rsid w:val="009D3E8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3E83"/>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9D3E83"/>
    <w:pPr>
      <w:spacing w:after="200" w:line="240" w:lineRule="auto"/>
    </w:pPr>
    <w:rPr>
      <w:b/>
      <w:bCs/>
      <w:color w:val="4F81BD" w:themeColor="accent1"/>
      <w:sz w:val="18"/>
      <w:szCs w:val="18"/>
    </w:rPr>
  </w:style>
  <w:style w:type="paragraph" w:customStyle="1" w:styleId="ListParagraph1">
    <w:name w:val="List Paragraph1"/>
    <w:basedOn w:val="Normal"/>
    <w:next w:val="ListParagraph"/>
    <w:uiPriority w:val="34"/>
    <w:qFormat/>
    <w:rsid w:val="009D3E83"/>
    <w:pPr>
      <w:spacing w:after="200" w:line="276" w:lineRule="auto"/>
      <w:ind w:left="720"/>
      <w:contextualSpacing/>
    </w:pPr>
  </w:style>
  <w:style w:type="paragraph" w:styleId="ListParagraph">
    <w:name w:val="List Paragraph"/>
    <w:basedOn w:val="Normal"/>
    <w:uiPriority w:val="34"/>
    <w:qFormat/>
    <w:rsid w:val="009D3E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Evelyne de Leeuw</dc:creator>
  <cp:lastModifiedBy>Evelyne de Leeuw</cp:lastModifiedBy>
  <cp:revision>1</cp:revision>
  <dcterms:created xsi:type="dcterms:W3CDTF">2014-08-05T00:44:00Z</dcterms:created>
  <dcterms:modified xsi:type="dcterms:W3CDTF">2014-08-05T00:45:00Z</dcterms:modified>
</cp:coreProperties>
</file>