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D9" w:rsidRDefault="00C86CD9" w:rsidP="00962FE6">
      <w:pPr>
        <w:jc w:val="center"/>
        <w:rPr>
          <w:b/>
          <w:lang w:val="en-CA"/>
        </w:rPr>
      </w:pPr>
      <w:r>
        <w:rPr>
          <w:b/>
          <w:lang w:val="en-CA"/>
        </w:rPr>
        <w:t>Appendix</w:t>
      </w:r>
      <w:r w:rsidR="00FD6BBC">
        <w:rPr>
          <w:b/>
          <w:lang w:val="en-CA"/>
        </w:rPr>
        <w:t>: Details of calculations of potential delays in generic entry as a result of CETA</w:t>
      </w:r>
      <w:bookmarkStart w:id="0" w:name="_GoBack"/>
      <w:bookmarkEnd w:id="0"/>
      <w:r>
        <w:rPr>
          <w:b/>
          <w:lang w:val="en-CA"/>
        </w:rPr>
        <w:t xml:space="preserve"> </w:t>
      </w:r>
    </w:p>
    <w:p w:rsidR="00962FE6" w:rsidRDefault="00C86CD9" w:rsidP="00962FE6">
      <w:pPr>
        <w:jc w:val="center"/>
        <w:rPr>
          <w:lang w:val="en-CA"/>
        </w:rPr>
      </w:pPr>
      <w:r>
        <w:rPr>
          <w:b/>
          <w:lang w:val="en-CA"/>
        </w:rPr>
        <w:t xml:space="preserve">Table </w:t>
      </w:r>
      <w:r w:rsidR="00E571E0">
        <w:rPr>
          <w:b/>
          <w:lang w:val="en-CA"/>
        </w:rPr>
        <w:t>S</w:t>
      </w:r>
      <w:r>
        <w:rPr>
          <w:b/>
          <w:lang w:val="en-CA"/>
        </w:rPr>
        <w:t xml:space="preserve">1: </w:t>
      </w:r>
      <w:r w:rsidR="00962FE6" w:rsidRPr="00B913CB">
        <w:rPr>
          <w:b/>
          <w:lang w:val="en-CA"/>
        </w:rPr>
        <w:t>Potential delays, in days, for generic entry in Canada if all Europeans demands for</w:t>
      </w:r>
      <w:r w:rsidR="00B913CB">
        <w:rPr>
          <w:b/>
          <w:lang w:val="en-CA"/>
        </w:rPr>
        <w:t xml:space="preserve"> inclusion in</w:t>
      </w:r>
      <w:r w:rsidR="00962FE6" w:rsidRPr="00B913CB">
        <w:rPr>
          <w:b/>
          <w:lang w:val="en-CA"/>
        </w:rPr>
        <w:t xml:space="preserve"> CETA were met</w:t>
      </w:r>
      <w:r w:rsidR="00962FE6" w:rsidRPr="00962FE6">
        <w:rPr>
          <w:lang w:val="en-CA"/>
        </w:rPr>
        <w:t xml:space="preserve"> </w:t>
      </w:r>
    </w:p>
    <w:tbl>
      <w:tblPr>
        <w:tblStyle w:val="LightShading"/>
        <w:tblW w:w="13680" w:type="dxa"/>
        <w:tblLook w:val="04A0"/>
      </w:tblPr>
      <w:tblGrid>
        <w:gridCol w:w="2500"/>
        <w:gridCol w:w="2300"/>
        <w:gridCol w:w="1620"/>
        <w:gridCol w:w="1860"/>
        <w:gridCol w:w="2960"/>
        <w:gridCol w:w="2440"/>
      </w:tblGrid>
      <w:tr w:rsidR="00FC0A13" w:rsidRPr="00FC0A13" w:rsidTr="00FC0A13">
        <w:trPr>
          <w:cnfStyle w:val="1000000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>Drug</w:t>
            </w:r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100000000000"/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</w:pP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 xml:space="preserve">Data exclusivity </w:t>
            </w:r>
            <w:r w:rsidR="00B913CB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 xml:space="preserve">increased </w:t>
            </w: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>from 8 to 10</w:t>
            </w:r>
            <w:r w:rsidR="00B913CB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 xml:space="preserve"> years</w:t>
            </w: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 xml:space="preserve">, including </w:t>
            </w:r>
            <w:r w:rsidR="00B913CB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 xml:space="preserve">for </w:t>
            </w: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>non-innovative drugs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100000000000"/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>Right of appeal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100000000000"/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 xml:space="preserve">Patent term </w:t>
            </w:r>
            <w:r w:rsidR="00B913CB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 xml:space="preserve">restoration for </w:t>
            </w: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>5 years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100000000000"/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>Paediatric</w:t>
            </w:r>
            <w:proofErr w:type="spellEnd"/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 xml:space="preserve"> exclusivity </w:t>
            </w:r>
            <w:r w:rsidR="00B913CB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 xml:space="preserve">of </w:t>
            </w: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>6 months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100000000000"/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>Total Hollis/</w:t>
            </w:r>
            <w:proofErr w:type="spellStart"/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>Grootendorst</w:t>
            </w:r>
            <w:proofErr w:type="spellEnd"/>
          </w:p>
        </w:tc>
      </w:tr>
      <w:tr w:rsidR="00FC0A13" w:rsidRPr="00FC0A13" w:rsidTr="00FC0A13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Actonel</w:t>
            </w:r>
            <w:proofErr w:type="spellEnd"/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730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2007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184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2191</w:t>
            </w:r>
          </w:p>
        </w:tc>
      </w:tr>
      <w:tr w:rsidR="00FC0A13" w:rsidRPr="00FC0A13" w:rsidTr="00FC0A13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Actonel</w:t>
            </w:r>
            <w:proofErr w:type="spellEnd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 xml:space="preserve"> + Calcium</w:t>
            </w:r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2120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1825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2120</w:t>
            </w:r>
          </w:p>
        </w:tc>
      </w:tr>
      <w:tr w:rsidR="00FC0A13" w:rsidRPr="00FC0A13" w:rsidTr="00FC0A13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Altace</w:t>
            </w:r>
            <w:proofErr w:type="spellEnd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 xml:space="preserve"> </w:t>
            </w: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HCT</w:t>
            </w:r>
            <w:proofErr w:type="spellEnd"/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2353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2353</w:t>
            </w:r>
          </w:p>
        </w:tc>
      </w:tr>
      <w:tr w:rsidR="00FC0A13" w:rsidRPr="00FC0A13" w:rsidTr="00FC0A13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Avandamet</w:t>
            </w:r>
            <w:proofErr w:type="spellEnd"/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785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785</w:t>
            </w:r>
          </w:p>
        </w:tc>
      </w:tr>
      <w:tr w:rsidR="00FC0A13" w:rsidRPr="00FC0A13" w:rsidTr="00FC0A13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Cesamet</w:t>
            </w:r>
            <w:proofErr w:type="spellEnd"/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</w:tr>
      <w:tr w:rsidR="00FC0A13" w:rsidRPr="00FC0A13" w:rsidTr="00FC0A13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Cosopt</w:t>
            </w:r>
            <w:proofErr w:type="spellEnd"/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</w:tr>
      <w:tr w:rsidR="00FC0A13" w:rsidRPr="00FC0A13" w:rsidTr="00FC0A13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Femara</w:t>
            </w:r>
            <w:proofErr w:type="spellEnd"/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1846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1846</w:t>
            </w:r>
          </w:p>
        </w:tc>
      </w:tr>
      <w:tr w:rsidR="00FC0A13" w:rsidRPr="00FC0A13" w:rsidTr="00FC0A13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Gluconorm</w:t>
            </w:r>
            <w:proofErr w:type="spellEnd"/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354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354</w:t>
            </w:r>
          </w:p>
        </w:tc>
      </w:tr>
      <w:tr w:rsidR="00FC0A13" w:rsidRPr="00FC0A13" w:rsidTr="00FC0A13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Lipitor</w:t>
            </w:r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642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182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824</w:t>
            </w:r>
          </w:p>
        </w:tc>
      </w:tr>
      <w:tr w:rsidR="00FC0A13" w:rsidRPr="00FC0A13" w:rsidTr="00FC0A13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Primaxin</w:t>
            </w:r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1906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1906</w:t>
            </w:r>
          </w:p>
        </w:tc>
      </w:tr>
      <w:tr w:rsidR="00FC0A13" w:rsidRPr="00FC0A13" w:rsidTr="00FC0A13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Proscar</w:t>
            </w:r>
            <w:proofErr w:type="spellEnd"/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1017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1017</w:t>
            </w:r>
          </w:p>
        </w:tc>
      </w:tr>
      <w:tr w:rsidR="00FC0A13" w:rsidRPr="00FC0A13" w:rsidTr="00FC0A13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Reminyl</w:t>
            </w:r>
            <w:proofErr w:type="spellEnd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 xml:space="preserve"> ER</w:t>
            </w:r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1457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365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1822</w:t>
            </w:r>
          </w:p>
        </w:tc>
      </w:tr>
      <w:tr w:rsidR="00FC0A13" w:rsidRPr="00FC0A13" w:rsidTr="00FC0A13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Revatio</w:t>
            </w:r>
            <w:proofErr w:type="spellEnd"/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2179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365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2179</w:t>
            </w:r>
          </w:p>
        </w:tc>
      </w:tr>
      <w:tr w:rsidR="00FC0A13" w:rsidRPr="00FC0A13" w:rsidTr="00FC0A13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Strattera</w:t>
            </w:r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1560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1560</w:t>
            </w:r>
          </w:p>
        </w:tc>
      </w:tr>
      <w:tr w:rsidR="00FC0A13" w:rsidRPr="00FC0A13" w:rsidTr="00FC0A13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Viramune</w:t>
            </w:r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</w:tr>
      <w:tr w:rsidR="00FC0A13" w:rsidRPr="00FC0A13" w:rsidTr="00FC0A13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AVERAGE</w:t>
            </w:r>
          </w:p>
        </w:tc>
        <w:tc>
          <w:tcPr>
            <w:tcW w:w="23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</w:p>
        </w:tc>
        <w:tc>
          <w:tcPr>
            <w:tcW w:w="18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</w:p>
        </w:tc>
        <w:tc>
          <w:tcPr>
            <w:tcW w:w="296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</w:p>
        </w:tc>
        <w:tc>
          <w:tcPr>
            <w:tcW w:w="2440" w:type="dxa"/>
            <w:noWrap/>
            <w:vAlign w:val="center"/>
            <w:hideMark/>
          </w:tcPr>
          <w:p w:rsidR="00FC0A13" w:rsidRPr="00FC0A13" w:rsidRDefault="00FC0A13" w:rsidP="00B913CB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126</w:t>
            </w:r>
            <w:r w:rsidR="00B913CB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4</w:t>
            </w:r>
          </w:p>
        </w:tc>
      </w:tr>
    </w:tbl>
    <w:p w:rsidR="00FC0A13" w:rsidRDefault="00B913CB">
      <w:pPr>
        <w:rPr>
          <w:lang w:val="en-CA"/>
        </w:rPr>
      </w:pPr>
      <w:r>
        <w:rPr>
          <w:lang w:val="en-CA"/>
        </w:rPr>
        <w:t xml:space="preserve">Details of the calculations according to the Hollis and </w:t>
      </w:r>
      <w:proofErr w:type="spellStart"/>
      <w:r>
        <w:rPr>
          <w:lang w:val="en-CA"/>
        </w:rPr>
        <w:t>Grootendorst</w:t>
      </w:r>
      <w:proofErr w:type="spellEnd"/>
      <w:r>
        <w:rPr>
          <w:lang w:val="en-CA"/>
        </w:rPr>
        <w:t xml:space="preserve"> study (2011)</w:t>
      </w:r>
      <w:r w:rsidRPr="00962FE6">
        <w:rPr>
          <w:lang w:val="en-CA"/>
        </w:rPr>
        <w:t xml:space="preserve"> </w:t>
      </w:r>
      <w:r>
        <w:rPr>
          <w:lang w:val="en-CA"/>
        </w:rPr>
        <w:t>based on drugs for which a generic entered the market in 2010. Calculations made by Gilbert’s LLP under the assumption of a patent term restoration of up to five years, additional data exclusivity of two years applied to non-innovative drugs, additional exclusivity of 6 months for paediatric trials and implementation of a right of appeal to NOC regulations.</w:t>
      </w:r>
    </w:p>
    <w:p w:rsidR="00B913CB" w:rsidRDefault="00B913CB" w:rsidP="00962FE6">
      <w:pPr>
        <w:jc w:val="center"/>
        <w:rPr>
          <w:b/>
          <w:lang w:val="en-CA"/>
        </w:rPr>
      </w:pPr>
    </w:p>
    <w:p w:rsidR="00962FE6" w:rsidRPr="00B913CB" w:rsidRDefault="00C86CD9" w:rsidP="00962FE6">
      <w:pPr>
        <w:jc w:val="center"/>
        <w:rPr>
          <w:b/>
          <w:lang w:val="en-CA"/>
        </w:rPr>
      </w:pPr>
      <w:r>
        <w:rPr>
          <w:b/>
          <w:lang w:val="en-CA"/>
        </w:rPr>
        <w:t xml:space="preserve">Table </w:t>
      </w:r>
      <w:r w:rsidR="00E571E0">
        <w:rPr>
          <w:b/>
          <w:lang w:val="en-CA"/>
        </w:rPr>
        <w:t>S</w:t>
      </w:r>
      <w:r>
        <w:rPr>
          <w:b/>
          <w:lang w:val="en-CA"/>
        </w:rPr>
        <w:t xml:space="preserve">2: </w:t>
      </w:r>
      <w:r w:rsidR="00962FE6" w:rsidRPr="00B913CB">
        <w:rPr>
          <w:b/>
          <w:lang w:val="en-CA"/>
        </w:rPr>
        <w:t xml:space="preserve">Potential delays, in days, for generic entry in Canada </w:t>
      </w:r>
      <w:r w:rsidR="00C423DB" w:rsidRPr="00B913CB">
        <w:rPr>
          <w:b/>
          <w:lang w:val="en-CA"/>
        </w:rPr>
        <w:t>based on announced CETA provisions</w:t>
      </w:r>
      <w:r w:rsidR="00962FE6" w:rsidRPr="00B913CB">
        <w:rPr>
          <w:b/>
          <w:lang w:val="en-CA"/>
        </w:rPr>
        <w:t xml:space="preserve"> </w:t>
      </w:r>
    </w:p>
    <w:tbl>
      <w:tblPr>
        <w:tblStyle w:val="LightShading"/>
        <w:tblW w:w="13291" w:type="dxa"/>
        <w:tblLook w:val="04A0"/>
      </w:tblPr>
      <w:tblGrid>
        <w:gridCol w:w="2500"/>
        <w:gridCol w:w="1294"/>
        <w:gridCol w:w="1417"/>
        <w:gridCol w:w="2552"/>
        <w:gridCol w:w="2716"/>
        <w:gridCol w:w="2812"/>
      </w:tblGrid>
      <w:tr w:rsidR="00FC0A13" w:rsidRPr="00962FE6" w:rsidTr="00F45175">
        <w:trPr>
          <w:cnfStyle w:val="1000000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>Drug</w:t>
            </w:r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100000000000"/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>Right of appeal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100000000000"/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 xml:space="preserve">Patent term </w:t>
            </w:r>
            <w:r w:rsidR="00B913CB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 xml:space="preserve">restoration for </w:t>
            </w: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eastAsia="fr-CA"/>
              </w:rPr>
              <w:t>2 years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B913CB" w:rsidP="00FC0A13">
            <w:pPr>
              <w:jc w:val="center"/>
              <w:cnfStyle w:val="100000000000"/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>No extension of</w:t>
            </w:r>
            <w:r w:rsidR="00F45175" w:rsidRPr="00F45175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 xml:space="preserve"> data exclusivity to non-innovative drugs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100000000000"/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</w:pP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>Data exclusivity including</w:t>
            </w:r>
            <w:r w:rsidR="00B913CB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 xml:space="preserve"> for</w:t>
            </w:r>
            <w:r w:rsidRPr="00FC0A13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 xml:space="preserve"> non-innovative drugs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B913CB" w:rsidP="00F45175">
            <w:pPr>
              <w:jc w:val="center"/>
              <w:cnfStyle w:val="100000000000"/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>Extension of</w:t>
            </w:r>
            <w:r w:rsidR="00F45175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 xml:space="preserve"> d</w:t>
            </w:r>
            <w:r w:rsidR="00FC0A13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>ata exclusivity</w:t>
            </w:r>
            <w:r w:rsidR="00FC0A13" w:rsidRPr="00FC0A13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 xml:space="preserve"> for </w:t>
            </w:r>
            <w:r w:rsidR="00F45175">
              <w:rPr>
                <w:rFonts w:ascii="Calibri" w:eastAsia="Times New Roman" w:hAnsi="Calibri"/>
                <w:color w:val="000000"/>
                <w:sz w:val="22"/>
                <w:szCs w:val="22"/>
                <w:lang w:val="en-CA" w:eastAsia="fr-CA"/>
              </w:rPr>
              <w:t>non-innovative drugs</w:t>
            </w:r>
          </w:p>
        </w:tc>
      </w:tr>
      <w:tr w:rsidR="00FC0A13" w:rsidRPr="00FC0A13" w:rsidTr="00F45175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Actonel</w:t>
            </w:r>
            <w:proofErr w:type="spellEnd"/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730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730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730</w:t>
            </w:r>
          </w:p>
        </w:tc>
      </w:tr>
      <w:tr w:rsidR="00FC0A13" w:rsidRPr="00FC0A13" w:rsidTr="00F45175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Actonel</w:t>
            </w:r>
            <w:proofErr w:type="spellEnd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 xml:space="preserve"> + Calcium</w:t>
            </w:r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730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730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1390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1390</w:t>
            </w:r>
          </w:p>
        </w:tc>
      </w:tr>
      <w:tr w:rsidR="00FC0A13" w:rsidRPr="00FC0A13" w:rsidTr="00F45175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Altace</w:t>
            </w:r>
            <w:proofErr w:type="spellEnd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 xml:space="preserve"> </w:t>
            </w: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HCT</w:t>
            </w:r>
            <w:proofErr w:type="spellEnd"/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1623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1623</w:t>
            </w:r>
          </w:p>
        </w:tc>
      </w:tr>
      <w:tr w:rsidR="00FC0A13" w:rsidRPr="00FC0A13" w:rsidTr="00F45175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Avandamet</w:t>
            </w:r>
            <w:proofErr w:type="spellEnd"/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730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730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55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730</w:t>
            </w:r>
          </w:p>
        </w:tc>
      </w:tr>
      <w:tr w:rsidR="00FC0A13" w:rsidRPr="00FC0A13" w:rsidTr="00F45175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Cesamet</w:t>
            </w:r>
            <w:proofErr w:type="spellEnd"/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</w:tr>
      <w:tr w:rsidR="00FC0A13" w:rsidRPr="00FC0A13" w:rsidTr="00F45175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Cosopt</w:t>
            </w:r>
            <w:proofErr w:type="spellEnd"/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</w:tr>
      <w:tr w:rsidR="00FC0A13" w:rsidRPr="00FC0A13" w:rsidTr="00F45175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Femara</w:t>
            </w:r>
            <w:proofErr w:type="spellEnd"/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730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730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730</w:t>
            </w:r>
          </w:p>
        </w:tc>
      </w:tr>
      <w:tr w:rsidR="00FC0A13" w:rsidRPr="00FC0A13" w:rsidTr="00F45175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Gluconorm</w:t>
            </w:r>
            <w:proofErr w:type="spellEnd"/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354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354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354</w:t>
            </w:r>
          </w:p>
        </w:tc>
      </w:tr>
      <w:tr w:rsidR="00FC0A13" w:rsidRPr="00FC0A13" w:rsidTr="00F45175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Lipitor</w:t>
            </w:r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642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642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642</w:t>
            </w:r>
          </w:p>
        </w:tc>
      </w:tr>
      <w:tr w:rsidR="00FC0A13" w:rsidRPr="00FC0A13" w:rsidTr="00F45175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Primaxin</w:t>
            </w:r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1176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1176</w:t>
            </w:r>
          </w:p>
        </w:tc>
      </w:tr>
      <w:tr w:rsidR="00FC0A13" w:rsidRPr="00FC0A13" w:rsidTr="00F45175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Proscar</w:t>
            </w:r>
            <w:proofErr w:type="spellEnd"/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730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730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1095</w:t>
            </w:r>
          </w:p>
        </w:tc>
      </w:tr>
      <w:tr w:rsidR="00FC0A13" w:rsidRPr="00FC0A13" w:rsidTr="00F45175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Reminyl</w:t>
            </w:r>
            <w:proofErr w:type="spellEnd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 xml:space="preserve"> ER</w:t>
            </w:r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365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365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365</w:t>
            </w:r>
          </w:p>
        </w:tc>
      </w:tr>
      <w:tr w:rsidR="00FC0A13" w:rsidRPr="00FC0A13" w:rsidTr="00F45175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proofErr w:type="spellStart"/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Revatio</w:t>
            </w:r>
            <w:proofErr w:type="spellEnd"/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365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365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1449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1449</w:t>
            </w:r>
          </w:p>
        </w:tc>
      </w:tr>
      <w:tr w:rsidR="00FC0A13" w:rsidRPr="00FC0A13" w:rsidTr="00F45175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Strattera</w:t>
            </w:r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830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830</w:t>
            </w:r>
          </w:p>
        </w:tc>
      </w:tr>
      <w:tr w:rsidR="00FC0A13" w:rsidRPr="00FC0A13" w:rsidTr="00F45175">
        <w:trPr>
          <w:cnfStyle w:val="000000100000"/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Viramune</w:t>
            </w:r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1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0</w:t>
            </w:r>
          </w:p>
        </w:tc>
      </w:tr>
      <w:tr w:rsidR="00FC0A13" w:rsidRPr="00FC0A13" w:rsidTr="00F45175">
        <w:trPr>
          <w:trHeight w:val="300"/>
        </w:trPr>
        <w:tc>
          <w:tcPr>
            <w:cnfStyle w:val="001000000000"/>
            <w:tcW w:w="2500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 w:rsidRPr="00FC0A13"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AVERAGE</w:t>
            </w:r>
          </w:p>
        </w:tc>
        <w:tc>
          <w:tcPr>
            <w:tcW w:w="1294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:rsidR="00FC0A13" w:rsidRPr="00FC0A13" w:rsidRDefault="00B913CB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359</w:t>
            </w:r>
          </w:p>
        </w:tc>
        <w:tc>
          <w:tcPr>
            <w:tcW w:w="2716" w:type="dxa"/>
            <w:noWrap/>
            <w:vAlign w:val="center"/>
            <w:hideMark/>
          </w:tcPr>
          <w:p w:rsidR="00FC0A13" w:rsidRPr="00FC0A13" w:rsidRDefault="00FC0A13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</w:p>
        </w:tc>
        <w:tc>
          <w:tcPr>
            <w:tcW w:w="2812" w:type="dxa"/>
            <w:noWrap/>
            <w:vAlign w:val="center"/>
            <w:hideMark/>
          </w:tcPr>
          <w:p w:rsidR="00FC0A13" w:rsidRPr="00FC0A13" w:rsidRDefault="00B913CB" w:rsidP="00FC0A13">
            <w:pPr>
              <w:jc w:val="center"/>
              <w:cnfStyle w:val="000000000000"/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</w:pPr>
            <w:r>
              <w:rPr>
                <w:rFonts w:ascii="Calibri" w:eastAsia="Times New Roman" w:hAnsi="Calibri"/>
                <w:bCs w:val="0"/>
                <w:color w:val="000000"/>
                <w:sz w:val="22"/>
                <w:szCs w:val="22"/>
                <w:lang w:eastAsia="fr-CA"/>
              </w:rPr>
              <w:t>741</w:t>
            </w:r>
          </w:p>
        </w:tc>
      </w:tr>
    </w:tbl>
    <w:p w:rsidR="00B913CB" w:rsidRDefault="00B913CB" w:rsidP="00B913CB">
      <w:pPr>
        <w:spacing w:after="0"/>
        <w:rPr>
          <w:lang w:val="en-CA"/>
        </w:rPr>
      </w:pPr>
      <w:r>
        <w:rPr>
          <w:lang w:val="en-CA"/>
        </w:rPr>
        <w:t xml:space="preserve">Details of the revised calculations according to the Hollis and </w:t>
      </w:r>
      <w:proofErr w:type="spellStart"/>
      <w:r>
        <w:rPr>
          <w:lang w:val="en-CA"/>
        </w:rPr>
        <w:t>Grootendorst</w:t>
      </w:r>
      <w:proofErr w:type="spellEnd"/>
      <w:r>
        <w:rPr>
          <w:lang w:val="en-CA"/>
        </w:rPr>
        <w:t xml:space="preserve"> study (2011)</w:t>
      </w:r>
      <w:r w:rsidRPr="00962FE6">
        <w:rPr>
          <w:lang w:val="en-CA"/>
        </w:rPr>
        <w:t xml:space="preserve"> </w:t>
      </w:r>
      <w:r>
        <w:rPr>
          <w:lang w:val="en-CA"/>
        </w:rPr>
        <w:t>based on drugs for which a generic entered the market in 2010. Calculations made by Gilbert’s LLP under the assumption of a patent term restoration of up to two years</w:t>
      </w:r>
    </w:p>
    <w:p w:rsidR="00FC0A13" w:rsidRPr="00FC0A13" w:rsidRDefault="00B913CB" w:rsidP="00B913CB">
      <w:pPr>
        <w:rPr>
          <w:lang w:val="en-CA"/>
        </w:rPr>
      </w:pPr>
      <w:proofErr w:type="gramStart"/>
      <w:r>
        <w:rPr>
          <w:lang w:val="en-CA"/>
        </w:rPr>
        <w:t>and</w:t>
      </w:r>
      <w:proofErr w:type="gramEnd"/>
      <w:r>
        <w:rPr>
          <w:lang w:val="en-CA"/>
        </w:rPr>
        <w:t xml:space="preserve"> implementation of a right of appeal to NOC regulations; with or without</w:t>
      </w:r>
      <w:r w:rsidRPr="00F45175">
        <w:rPr>
          <w:lang w:val="en-CA"/>
        </w:rPr>
        <w:t xml:space="preserve"> </w:t>
      </w:r>
      <w:r>
        <w:rPr>
          <w:lang w:val="en-CA"/>
        </w:rPr>
        <w:t>data exclusivity extended to non-innovative drugs.</w:t>
      </w:r>
    </w:p>
    <w:sectPr w:rsidR="00FC0A13" w:rsidRPr="00FC0A13" w:rsidSect="00FC0A13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C0A13"/>
    <w:rsid w:val="0012008F"/>
    <w:rsid w:val="002C7AB5"/>
    <w:rsid w:val="0072774E"/>
    <w:rsid w:val="00962FE6"/>
    <w:rsid w:val="00A300F8"/>
    <w:rsid w:val="00B913CB"/>
    <w:rsid w:val="00C423DB"/>
    <w:rsid w:val="00C86CD9"/>
    <w:rsid w:val="00E571E0"/>
    <w:rsid w:val="00F45175"/>
    <w:rsid w:val="00FC0A13"/>
    <w:rsid w:val="00FD6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FC0A1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4"/>
        <w:szCs w:val="24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FC0A1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Marc-André</dc:creator>
  <cp:lastModifiedBy>mbonoy</cp:lastModifiedBy>
  <cp:revision>5</cp:revision>
  <dcterms:created xsi:type="dcterms:W3CDTF">2014-03-27T00:19:00Z</dcterms:created>
  <dcterms:modified xsi:type="dcterms:W3CDTF">2014-04-14T14:17:00Z</dcterms:modified>
</cp:coreProperties>
</file>