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82A75" w14:textId="77777777" w:rsidR="007778EC" w:rsidRPr="00320E93" w:rsidRDefault="007778EC" w:rsidP="007778EC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320E93">
        <w:rPr>
          <w:rFonts w:ascii="Arial" w:hAnsi="Arial" w:cs="Arial"/>
          <w:sz w:val="16"/>
          <w:szCs w:val="16"/>
        </w:rPr>
        <w:t>Table 2. Three examples and four steps of reverse innovation in health care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1242"/>
        <w:gridCol w:w="1273"/>
        <w:gridCol w:w="1134"/>
        <w:gridCol w:w="1306"/>
        <w:gridCol w:w="1306"/>
        <w:gridCol w:w="1306"/>
        <w:gridCol w:w="1289"/>
      </w:tblGrid>
      <w:tr w:rsidR="007778EC" w:rsidRPr="00320E93" w14:paraId="144FCCE7" w14:textId="77777777" w:rsidTr="004F6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00C1ACE4" w14:textId="77777777" w:rsidR="007778EC" w:rsidRPr="00320E93" w:rsidRDefault="007778EC" w:rsidP="004F6C18">
            <w:pPr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Example and WHO health system area</w:t>
            </w:r>
          </w:p>
        </w:tc>
        <w:tc>
          <w:tcPr>
            <w:tcW w:w="1811" w:type="dxa"/>
          </w:tcPr>
          <w:p w14:paraId="211246E6" w14:textId="77777777" w:rsidR="007778EC" w:rsidRPr="00320E93" w:rsidRDefault="007778EC" w:rsidP="004F6C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20E93">
              <w:rPr>
                <w:rFonts w:ascii="Arial" w:hAnsi="Arial" w:cs="Arial"/>
                <w:sz w:val="16"/>
                <w:szCs w:val="16"/>
                <w:u w:val="single"/>
              </w:rPr>
              <w:t>Step 1. Problem Identification</w:t>
            </w:r>
          </w:p>
        </w:tc>
        <w:tc>
          <w:tcPr>
            <w:tcW w:w="5417" w:type="dxa"/>
            <w:gridSpan w:val="3"/>
          </w:tcPr>
          <w:p w14:paraId="5536B581" w14:textId="77777777" w:rsidR="007778EC" w:rsidRPr="00320E93" w:rsidRDefault="007778EC" w:rsidP="004F6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20E93">
              <w:rPr>
                <w:rFonts w:ascii="Arial" w:hAnsi="Arial" w:cs="Arial"/>
                <w:sz w:val="16"/>
                <w:szCs w:val="16"/>
                <w:u w:val="single"/>
              </w:rPr>
              <w:t>Step 2.  LIC innovation and spread</w:t>
            </w:r>
          </w:p>
          <w:p w14:paraId="2EDDF3F0" w14:textId="77777777" w:rsidR="007778EC" w:rsidRPr="00320E93" w:rsidRDefault="007778EC" w:rsidP="004F6C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3E406B9" w14:textId="77777777" w:rsidR="007778EC" w:rsidRPr="00320E93" w:rsidRDefault="007778EC" w:rsidP="004F6C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Innovation              Description             LIC spread</w:t>
            </w:r>
          </w:p>
        </w:tc>
        <w:tc>
          <w:tcPr>
            <w:tcW w:w="1819" w:type="dxa"/>
          </w:tcPr>
          <w:p w14:paraId="2DE29417" w14:textId="77777777" w:rsidR="007778EC" w:rsidRPr="00320E93" w:rsidRDefault="007778EC" w:rsidP="004F6C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20E93">
              <w:rPr>
                <w:rFonts w:ascii="Arial" w:hAnsi="Arial" w:cs="Arial"/>
                <w:sz w:val="16"/>
                <w:szCs w:val="16"/>
                <w:u w:val="single"/>
              </w:rPr>
              <w:t>Step 3. Crossover</w:t>
            </w:r>
          </w:p>
        </w:tc>
        <w:tc>
          <w:tcPr>
            <w:tcW w:w="2527" w:type="dxa"/>
          </w:tcPr>
          <w:p w14:paraId="685808A0" w14:textId="77777777" w:rsidR="007778EC" w:rsidRPr="00320E93" w:rsidRDefault="007778EC" w:rsidP="004F6C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20E93">
              <w:rPr>
                <w:rFonts w:ascii="Arial" w:hAnsi="Arial" w:cs="Arial"/>
                <w:sz w:val="16"/>
                <w:szCs w:val="16"/>
                <w:u w:val="single"/>
              </w:rPr>
              <w:t>Step 4.  HIC innovation and spread</w:t>
            </w:r>
          </w:p>
        </w:tc>
      </w:tr>
      <w:tr w:rsidR="007778EC" w:rsidRPr="00320E93" w14:paraId="41F69147" w14:textId="77777777" w:rsidTr="004F6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5474672C" w14:textId="2C514F33" w:rsidR="007778EC" w:rsidRPr="00320E93" w:rsidRDefault="007778EC" w:rsidP="004F6C18">
            <w:pPr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1)</w:t>
            </w:r>
            <w:r w:rsidR="00D55B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0E93">
              <w:rPr>
                <w:rFonts w:ascii="Arial" w:hAnsi="Arial" w:cs="Arial"/>
                <w:sz w:val="16"/>
                <w:szCs w:val="16"/>
              </w:rPr>
              <w:t>Medical products</w:t>
            </w:r>
            <w:r w:rsidR="00D55B7F">
              <w:rPr>
                <w:rFonts w:ascii="Arial" w:hAnsi="Arial" w:cs="Arial"/>
                <w:sz w:val="16"/>
                <w:szCs w:val="16"/>
              </w:rPr>
              <w:t>, vaccines, and technologies</w:t>
            </w:r>
          </w:p>
        </w:tc>
        <w:tc>
          <w:tcPr>
            <w:tcW w:w="1811" w:type="dxa"/>
          </w:tcPr>
          <w:p w14:paraId="10A6F81A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Need for low-cost, rugged, portable health diagnostics for use in resource-limited areas by non-specialist personnel</w:t>
            </w:r>
          </w:p>
        </w:tc>
        <w:tc>
          <w:tcPr>
            <w:tcW w:w="1779" w:type="dxa"/>
          </w:tcPr>
          <w:p w14:paraId="7088AD3F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 xml:space="preserve">General Electric’s </w:t>
            </w:r>
            <w:proofErr w:type="spellStart"/>
            <w:r w:rsidRPr="00320E93">
              <w:rPr>
                <w:rFonts w:ascii="Arial" w:hAnsi="Arial" w:cs="Arial"/>
                <w:sz w:val="16"/>
                <w:szCs w:val="16"/>
              </w:rPr>
              <w:t>MACi</w:t>
            </w:r>
            <w:proofErr w:type="spellEnd"/>
            <w:r w:rsidRPr="00320E93">
              <w:rPr>
                <w:rFonts w:ascii="Arial" w:hAnsi="Arial" w:cs="Arial"/>
                <w:sz w:val="16"/>
                <w:szCs w:val="16"/>
              </w:rPr>
              <w:t xml:space="preserve"> EKG machine</w:t>
            </w:r>
            <w:r w:rsidRPr="00320E93">
              <w:rPr>
                <w:rFonts w:ascii="Arial" w:hAnsi="Arial" w:cs="Arial"/>
                <w:sz w:val="16"/>
                <w:szCs w:val="16"/>
                <w:vertAlign w:val="superscript"/>
              </w:rPr>
              <w:t>8</w:t>
            </w:r>
            <w:r w:rsidRPr="00320E93">
              <w:rPr>
                <w:rFonts w:ascii="Arial" w:hAnsi="Arial" w:cs="Arial"/>
                <w:sz w:val="16"/>
                <w:szCs w:val="16"/>
              </w:rPr>
              <w:t>, developed in partnership with Indian leaders at GE for rural health clinics in India</w:t>
            </w:r>
          </w:p>
        </w:tc>
        <w:tc>
          <w:tcPr>
            <w:tcW w:w="1819" w:type="dxa"/>
          </w:tcPr>
          <w:p w14:paraId="466B45BE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Price point = $550 USD, &gt;10 times less than standard EKG machines. Additional features: lightweight, durable, minimalist easy-to-use interface.</w:t>
            </w:r>
          </w:p>
        </w:tc>
        <w:tc>
          <w:tcPr>
            <w:tcW w:w="1819" w:type="dxa"/>
          </w:tcPr>
          <w:p w14:paraId="1C5F6D9B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Viewed as a commercial success by GE leadership (No publically-available data on number of units sold)</w:t>
            </w:r>
          </w:p>
        </w:tc>
        <w:tc>
          <w:tcPr>
            <w:tcW w:w="1819" w:type="dxa"/>
          </w:tcPr>
          <w:p w14:paraId="13FC9626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Success in India prompted GE to develop MAC 600 and MAC 800, adaptations of the simple EKG machine for value-oriented US consumers</w:t>
            </w:r>
          </w:p>
        </w:tc>
        <w:tc>
          <w:tcPr>
            <w:tcW w:w="2527" w:type="dxa"/>
          </w:tcPr>
          <w:p w14:paraId="5C18E42E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b/>
                <w:bCs/>
                <w:color w:val="4F81BD" w:themeColor="accent1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The slightly more sophisticated version was sold to primary care clinics around the US (no publically-available data on number of units sold)</w:t>
            </w:r>
          </w:p>
        </w:tc>
      </w:tr>
      <w:tr w:rsidR="007778EC" w:rsidRPr="00320E93" w14:paraId="678ACC1B" w14:textId="77777777" w:rsidTr="004F6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2B301F18" w14:textId="77777777" w:rsidR="007778EC" w:rsidRPr="00320E93" w:rsidRDefault="007778EC" w:rsidP="004F6C18">
            <w:pPr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2) Health information</w:t>
            </w:r>
          </w:p>
        </w:tc>
        <w:tc>
          <w:tcPr>
            <w:tcW w:w="1811" w:type="dxa"/>
          </w:tcPr>
          <w:p w14:paraId="7025AE70" w14:textId="77777777" w:rsidR="007778EC" w:rsidRPr="00320E93" w:rsidRDefault="007778EC" w:rsidP="004F6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 xml:space="preserve">Need for gathering and sharing real-time information to map the impact and response to natural and man-made disasters </w:t>
            </w:r>
          </w:p>
        </w:tc>
        <w:tc>
          <w:tcPr>
            <w:tcW w:w="1779" w:type="dxa"/>
          </w:tcPr>
          <w:p w14:paraId="70A1ECE8" w14:textId="77777777" w:rsidR="007778EC" w:rsidRPr="00320E93" w:rsidRDefault="007778EC" w:rsidP="004F6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Ushahidi</w:t>
            </w:r>
            <w:r w:rsidRPr="00320E93">
              <w:rPr>
                <w:rFonts w:ascii="Arial" w:hAnsi="Arial" w:cs="Arial"/>
                <w:sz w:val="16"/>
                <w:szCs w:val="16"/>
                <w:vertAlign w:val="superscript"/>
              </w:rPr>
              <w:t>9</w:t>
            </w:r>
            <w:r w:rsidRPr="00320E93">
              <w:rPr>
                <w:rFonts w:ascii="Arial" w:hAnsi="Arial" w:cs="Arial"/>
                <w:sz w:val="16"/>
                <w:szCs w:val="16"/>
              </w:rPr>
              <w:t>, developed in the aftermath of the 2008 Kenyan presidential election as a way to map eyewitness reports of violence</w:t>
            </w:r>
          </w:p>
        </w:tc>
        <w:tc>
          <w:tcPr>
            <w:tcW w:w="1819" w:type="dxa"/>
          </w:tcPr>
          <w:p w14:paraId="0F0A619E" w14:textId="77777777" w:rsidR="007778EC" w:rsidRPr="00320E93" w:rsidRDefault="007778EC" w:rsidP="004F6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20E93">
              <w:rPr>
                <w:rFonts w:ascii="Arial" w:hAnsi="Arial" w:cs="Arial"/>
                <w:sz w:val="16"/>
                <w:szCs w:val="16"/>
              </w:rPr>
              <w:t>Uses  crowdsourcing</w:t>
            </w:r>
            <w:proofErr w:type="gramEnd"/>
            <w:r w:rsidRPr="00320E93">
              <w:rPr>
                <w:rFonts w:ascii="Arial" w:hAnsi="Arial" w:cs="Arial"/>
                <w:sz w:val="16"/>
                <w:szCs w:val="16"/>
              </w:rPr>
              <w:t xml:space="preserve"> to gather critical and timely information from smartphones and map them in a central database</w:t>
            </w:r>
          </w:p>
        </w:tc>
        <w:tc>
          <w:tcPr>
            <w:tcW w:w="1819" w:type="dxa"/>
          </w:tcPr>
          <w:p w14:paraId="1C4F9C14" w14:textId="77777777" w:rsidR="007778EC" w:rsidRPr="00320E93" w:rsidRDefault="007778EC" w:rsidP="004F6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/>
                <w:bCs/>
                <w:color w:val="4F81BD" w:themeColor="accent1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 xml:space="preserve">&gt;50 projects in LIC countries ranging from mapping Zimbabweans’ opinions on door-to-door HIV testing to finding victims of Haiti’s 2010 earthquake </w:t>
            </w:r>
          </w:p>
        </w:tc>
        <w:tc>
          <w:tcPr>
            <w:tcW w:w="1819" w:type="dxa"/>
          </w:tcPr>
          <w:p w14:paraId="35236F27" w14:textId="77777777" w:rsidR="007778EC" w:rsidRPr="00320E93" w:rsidRDefault="007778EC" w:rsidP="004F6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Recognition that crowdsourcing approach could be readily applied in HICs</w:t>
            </w:r>
          </w:p>
        </w:tc>
        <w:tc>
          <w:tcPr>
            <w:tcW w:w="2527" w:type="dxa"/>
          </w:tcPr>
          <w:p w14:paraId="2B6BF460" w14:textId="77777777" w:rsidR="007778EC" w:rsidRPr="00320E93" w:rsidRDefault="007778EC" w:rsidP="004F6C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US and Europe examples include: used in New Orleans to report health hazards and chemical spillages during hurricanes; used to promote situational awareness during the 2012 London Olympics</w:t>
            </w:r>
          </w:p>
        </w:tc>
      </w:tr>
      <w:tr w:rsidR="007778EC" w:rsidRPr="00320E93" w14:paraId="5D717C7B" w14:textId="77777777" w:rsidTr="004F6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2" w:type="dxa"/>
          </w:tcPr>
          <w:p w14:paraId="52C521B7" w14:textId="77777777" w:rsidR="007778EC" w:rsidRPr="00320E93" w:rsidRDefault="007778EC" w:rsidP="004F6C18">
            <w:pPr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3) Service delivery</w:t>
            </w:r>
          </w:p>
        </w:tc>
        <w:tc>
          <w:tcPr>
            <w:tcW w:w="1811" w:type="dxa"/>
          </w:tcPr>
          <w:p w14:paraId="6FAB579F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Need to provide close-to-client services and address underlying social determinants of health in resource-limited areas</w:t>
            </w:r>
          </w:p>
        </w:tc>
        <w:tc>
          <w:tcPr>
            <w:tcW w:w="1779" w:type="dxa"/>
          </w:tcPr>
          <w:p w14:paraId="1B4D6F6B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b/>
                <w:bCs/>
                <w:color w:val="4F81BD" w:themeColor="accent1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Partners In Health (</w:t>
            </w:r>
            <w:proofErr w:type="gramStart"/>
            <w:r w:rsidRPr="00320E93">
              <w:rPr>
                <w:rFonts w:ascii="Arial" w:hAnsi="Arial" w:cs="Arial"/>
                <w:sz w:val="16"/>
                <w:szCs w:val="16"/>
              </w:rPr>
              <w:t>PIH)</w:t>
            </w:r>
            <w:r w:rsidRPr="00320E93">
              <w:rPr>
                <w:rFonts w:ascii="Arial" w:hAnsi="Arial" w:cs="Arial"/>
                <w:sz w:val="16"/>
                <w:szCs w:val="16"/>
                <w:vertAlign w:val="superscript"/>
              </w:rPr>
              <w:t>10</w:t>
            </w:r>
            <w:proofErr w:type="gramEnd"/>
            <w:r w:rsidRPr="00320E9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320E93">
              <w:rPr>
                <w:rFonts w:ascii="Arial" w:hAnsi="Arial" w:cs="Arial"/>
                <w:sz w:val="16"/>
                <w:szCs w:val="16"/>
              </w:rPr>
              <w:t>community health worker (CHW) and wraparound service delivery model, first applied to HIV patients in rural Haiti</w:t>
            </w:r>
          </w:p>
        </w:tc>
        <w:tc>
          <w:tcPr>
            <w:tcW w:w="1819" w:type="dxa"/>
          </w:tcPr>
          <w:p w14:paraId="04B80AB5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 xml:space="preserve">CHWs visit patients at home, help overcome barriers to care, and provide psychosocial support. Food, transport, and housing support directly address root causes of disease. </w:t>
            </w:r>
          </w:p>
        </w:tc>
        <w:tc>
          <w:tcPr>
            <w:tcW w:w="1819" w:type="dxa"/>
          </w:tcPr>
          <w:p w14:paraId="237F6306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Used by PIH in range of LICs and adopted by many others. Likely has passed tipping point, i.e., 2012 multinational campaign to train and recruit one million CHWs in Africa</w:t>
            </w:r>
            <w:r w:rsidRPr="00320E93">
              <w:rPr>
                <w:rFonts w:ascii="Arial" w:hAnsi="Arial" w:cs="Arial"/>
                <w:sz w:val="16"/>
                <w:szCs w:val="16"/>
                <w:vertAlign w:val="superscript"/>
              </w:rPr>
              <w:t>12</w:t>
            </w:r>
            <w:r w:rsidRPr="00320E93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1819" w:type="dxa"/>
          </w:tcPr>
          <w:p w14:paraId="6906A988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Adapted to poor urban US populations by innovative PIH team, as the Prevention and Access to Care and Treatment (PACT) program</w:t>
            </w:r>
            <w:r w:rsidRPr="00320E93">
              <w:rPr>
                <w:rFonts w:ascii="Arial" w:hAnsi="Arial" w:cs="Arial"/>
                <w:sz w:val="16"/>
                <w:szCs w:val="16"/>
                <w:vertAlign w:val="superscript"/>
              </w:rPr>
              <w:t>13</w:t>
            </w:r>
            <w:r w:rsidRPr="00320E93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2527" w:type="dxa"/>
          </w:tcPr>
          <w:p w14:paraId="3FA2A3C4" w14:textId="77777777" w:rsidR="007778EC" w:rsidRPr="00320E93" w:rsidRDefault="007778EC" w:rsidP="004F6C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20E93">
              <w:rPr>
                <w:rFonts w:ascii="Arial" w:hAnsi="Arial" w:cs="Arial"/>
                <w:sz w:val="16"/>
                <w:szCs w:val="16"/>
              </w:rPr>
              <w:t>Among HIV-positive patients in Boston, PACT reduced inpatient hospital stays by 35% and decreased hospital costs by nearly 50%</w:t>
            </w:r>
            <w:r w:rsidRPr="00320E93">
              <w:rPr>
                <w:rFonts w:ascii="Arial" w:hAnsi="Arial" w:cs="Arial"/>
                <w:sz w:val="16"/>
                <w:szCs w:val="16"/>
                <w:vertAlign w:val="superscript"/>
              </w:rPr>
              <w:t>13</w:t>
            </w:r>
            <w:r w:rsidRPr="00320E93">
              <w:rPr>
                <w:rFonts w:ascii="Arial" w:hAnsi="Arial" w:cs="Arial"/>
                <w:sz w:val="16"/>
                <w:szCs w:val="16"/>
              </w:rPr>
              <w:t xml:space="preserve">. PACT’s success influenced similar models by other US innovators, including </w:t>
            </w:r>
            <w:proofErr w:type="spellStart"/>
            <w:r w:rsidRPr="00320E93">
              <w:rPr>
                <w:rFonts w:ascii="Arial" w:hAnsi="Arial" w:cs="Arial"/>
                <w:sz w:val="16"/>
                <w:szCs w:val="16"/>
              </w:rPr>
              <w:t>Iora</w:t>
            </w:r>
            <w:proofErr w:type="spellEnd"/>
            <w:r w:rsidRPr="00320E93">
              <w:rPr>
                <w:rFonts w:ascii="Arial" w:hAnsi="Arial" w:cs="Arial"/>
                <w:sz w:val="16"/>
                <w:szCs w:val="16"/>
              </w:rPr>
              <w:t xml:space="preserve"> Health</w:t>
            </w:r>
            <w:r w:rsidRPr="00320E93">
              <w:rPr>
                <w:rFonts w:ascii="Arial" w:hAnsi="Arial" w:cs="Arial"/>
                <w:sz w:val="16"/>
                <w:szCs w:val="16"/>
                <w:vertAlign w:val="superscript"/>
              </w:rPr>
              <w:t>14</w:t>
            </w:r>
            <w:r w:rsidRPr="00320E93">
              <w:rPr>
                <w:rFonts w:ascii="Arial" w:hAnsi="Arial" w:cs="Arial"/>
                <w:sz w:val="16"/>
                <w:szCs w:val="16"/>
              </w:rPr>
              <w:t xml:space="preserve"> and Transitions Clinic</w:t>
            </w:r>
            <w:r w:rsidRPr="00320E93">
              <w:rPr>
                <w:rFonts w:ascii="Arial" w:hAnsi="Arial" w:cs="Arial"/>
                <w:sz w:val="16"/>
                <w:szCs w:val="16"/>
                <w:vertAlign w:val="superscript"/>
              </w:rPr>
              <w:t>15</w:t>
            </w:r>
            <w:r w:rsidRPr="00320E93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</w:tbl>
    <w:p w14:paraId="65C15233" w14:textId="77777777" w:rsidR="000368FE" w:rsidRPr="00320E93" w:rsidRDefault="000368FE">
      <w:pPr>
        <w:rPr>
          <w:sz w:val="16"/>
          <w:szCs w:val="16"/>
        </w:rPr>
      </w:pPr>
    </w:p>
    <w:sectPr w:rsidR="000368FE" w:rsidRPr="00320E93" w:rsidSect="00320E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8EC"/>
    <w:rsid w:val="000368FE"/>
    <w:rsid w:val="00096986"/>
    <w:rsid w:val="00320E93"/>
    <w:rsid w:val="007778EC"/>
    <w:rsid w:val="009A160B"/>
    <w:rsid w:val="00B11888"/>
    <w:rsid w:val="00D55B7F"/>
    <w:rsid w:val="00FA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7A05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7778E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7778E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433</Words>
  <Characters>2469</Characters>
  <Application>Microsoft Macintosh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Weiss</dc:creator>
  <cp:keywords/>
  <dc:description/>
  <cp:lastModifiedBy>Jacqueline Weiss</cp:lastModifiedBy>
  <cp:revision>4</cp:revision>
  <dcterms:created xsi:type="dcterms:W3CDTF">2012-12-02T20:34:00Z</dcterms:created>
  <dcterms:modified xsi:type="dcterms:W3CDTF">2012-12-02T20:44:00Z</dcterms:modified>
</cp:coreProperties>
</file>