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D1B" w:rsidRPr="00510D1B" w:rsidRDefault="00510D1B" w:rsidP="0012003E">
      <w:pPr>
        <w:spacing w:line="360" w:lineRule="auto"/>
        <w:rPr>
          <w:rFonts w:ascii="Arial" w:hAnsi="Arial" w:cs="Arial"/>
          <w:b/>
          <w:sz w:val="28"/>
          <w:szCs w:val="28"/>
        </w:rPr>
      </w:pPr>
      <w:proofErr w:type="gramStart"/>
      <w:r w:rsidRPr="00510D1B">
        <w:rPr>
          <w:rFonts w:ascii="Arial" w:hAnsi="Arial" w:cs="Arial"/>
          <w:b/>
          <w:sz w:val="28"/>
          <w:szCs w:val="28"/>
        </w:rPr>
        <w:t>Supplementary Experimental Procedures.</w:t>
      </w:r>
      <w:proofErr w:type="gramEnd"/>
      <w:r w:rsidRPr="00510D1B">
        <w:rPr>
          <w:rFonts w:ascii="Arial" w:hAnsi="Arial" w:cs="Arial"/>
          <w:b/>
          <w:sz w:val="28"/>
          <w:szCs w:val="28"/>
        </w:rPr>
        <w:t xml:space="preserve"> </w:t>
      </w:r>
    </w:p>
    <w:p w:rsidR="002D46D0" w:rsidRPr="0012003E" w:rsidRDefault="0012003E" w:rsidP="0012003E">
      <w:pPr>
        <w:spacing w:line="360" w:lineRule="auto"/>
        <w:rPr>
          <w:rFonts w:ascii="Arial" w:hAnsi="Arial" w:cs="Arial"/>
          <w:sz w:val="24"/>
          <w:szCs w:val="24"/>
        </w:rPr>
      </w:pPr>
      <w:proofErr w:type="gramStart"/>
      <w:r w:rsidRPr="0012003E">
        <w:rPr>
          <w:rFonts w:ascii="Arial" w:hAnsi="Arial" w:cs="Arial"/>
          <w:b/>
          <w:sz w:val="24"/>
          <w:szCs w:val="24"/>
        </w:rPr>
        <w:t>Genome sequencing.</w:t>
      </w:r>
      <w:proofErr w:type="gramEnd"/>
      <w:r>
        <w:rPr>
          <w:rFonts w:ascii="Arial" w:hAnsi="Arial" w:cs="Arial"/>
          <w:sz w:val="24"/>
          <w:szCs w:val="24"/>
        </w:rPr>
        <w:t xml:space="preserve"> </w:t>
      </w:r>
      <w:r w:rsidR="002D46D0" w:rsidRPr="0012003E">
        <w:rPr>
          <w:rFonts w:ascii="Arial" w:hAnsi="Arial" w:cs="Arial"/>
          <w:sz w:val="24"/>
          <w:szCs w:val="24"/>
        </w:rPr>
        <w:t xml:space="preserve">We obtained about 40 million </w:t>
      </w:r>
      <w:r w:rsidR="00DB1AF7">
        <w:rPr>
          <w:rFonts w:ascii="Arial" w:hAnsi="Arial" w:cs="Arial"/>
          <w:sz w:val="24"/>
          <w:szCs w:val="24"/>
        </w:rPr>
        <w:t>2x</w:t>
      </w:r>
      <w:r w:rsidR="002D46D0" w:rsidRPr="0012003E">
        <w:rPr>
          <w:rFonts w:ascii="Arial" w:hAnsi="Arial" w:cs="Arial"/>
          <w:sz w:val="24"/>
          <w:szCs w:val="24"/>
        </w:rPr>
        <w:t>101-bp paired-end reads for each genome</w:t>
      </w:r>
      <w:r w:rsidR="00DB1AF7">
        <w:rPr>
          <w:rFonts w:ascii="Arial" w:hAnsi="Arial" w:cs="Arial"/>
          <w:sz w:val="24"/>
          <w:szCs w:val="24"/>
        </w:rPr>
        <w:t>. Reads from the un-</w:t>
      </w:r>
      <w:proofErr w:type="spellStart"/>
      <w:r w:rsidR="00DB1AF7">
        <w:rPr>
          <w:rFonts w:ascii="Arial" w:hAnsi="Arial" w:cs="Arial"/>
          <w:sz w:val="24"/>
          <w:szCs w:val="24"/>
        </w:rPr>
        <w:t>mutagenized</w:t>
      </w:r>
      <w:proofErr w:type="spellEnd"/>
      <w:r w:rsidR="00DB1AF7">
        <w:rPr>
          <w:rFonts w:ascii="Arial" w:hAnsi="Arial" w:cs="Arial"/>
          <w:sz w:val="24"/>
          <w:szCs w:val="24"/>
        </w:rPr>
        <w:t xml:space="preserve"> LAN210 strain were used to produce a high-quality DNA sequence assembly for an “</w:t>
      </w:r>
      <w:proofErr w:type="spellStart"/>
      <w:r w:rsidR="00DB1AF7">
        <w:rPr>
          <w:rFonts w:ascii="Arial" w:hAnsi="Arial" w:cs="Arial"/>
          <w:sz w:val="24"/>
          <w:szCs w:val="24"/>
        </w:rPr>
        <w:t>isogenic</w:t>
      </w:r>
      <w:proofErr w:type="spellEnd"/>
      <w:r w:rsidR="00DB1AF7">
        <w:rPr>
          <w:rFonts w:ascii="Arial" w:hAnsi="Arial" w:cs="Arial"/>
          <w:sz w:val="24"/>
          <w:szCs w:val="24"/>
        </w:rPr>
        <w:t xml:space="preserve"> reference” genome, with an average coverage depth of </w:t>
      </w:r>
      <w:proofErr w:type="gramStart"/>
      <w:r w:rsidR="00DB1AF7">
        <w:rPr>
          <w:rFonts w:ascii="Arial" w:hAnsi="Arial" w:cs="Arial"/>
          <w:sz w:val="24"/>
          <w:szCs w:val="24"/>
        </w:rPr>
        <w:t>300x</w:t>
      </w:r>
      <w:proofErr w:type="gramEnd"/>
      <w:r w:rsidR="00DB1AF7">
        <w:rPr>
          <w:rFonts w:ascii="Arial" w:hAnsi="Arial" w:cs="Arial"/>
          <w:sz w:val="24"/>
          <w:szCs w:val="24"/>
        </w:rPr>
        <w:t>.  For the mutant strains, mapping of their reads against this “isogenic reference” genome assembly showed that both agents induce about a thousand mutations per diploid genome, ten-fold more than in isogenic haploid genomes. Details of our</w:t>
      </w:r>
      <w:r w:rsidR="002D46D0" w:rsidRPr="0012003E">
        <w:rPr>
          <w:rFonts w:ascii="Arial" w:hAnsi="Arial" w:cs="Arial"/>
          <w:sz w:val="24"/>
          <w:szCs w:val="24"/>
        </w:rPr>
        <w:t xml:space="preserve"> next</w:t>
      </w:r>
      <w:r w:rsidR="00DB1AF7">
        <w:rPr>
          <w:rFonts w:ascii="Arial" w:hAnsi="Arial" w:cs="Arial"/>
          <w:sz w:val="24"/>
          <w:szCs w:val="24"/>
        </w:rPr>
        <w:t>-</w:t>
      </w:r>
      <w:r w:rsidR="002D46D0" w:rsidRPr="0012003E">
        <w:rPr>
          <w:rFonts w:ascii="Arial" w:hAnsi="Arial" w:cs="Arial"/>
          <w:sz w:val="24"/>
          <w:szCs w:val="24"/>
        </w:rPr>
        <w:t xml:space="preserve">generation whole-genome </w:t>
      </w:r>
      <w:r w:rsidR="00DB1AF7">
        <w:rPr>
          <w:rFonts w:ascii="Arial" w:hAnsi="Arial" w:cs="Arial"/>
          <w:sz w:val="24"/>
          <w:szCs w:val="24"/>
        </w:rPr>
        <w:t xml:space="preserve">DNA </w:t>
      </w:r>
      <w:r w:rsidR="002D46D0" w:rsidRPr="0012003E">
        <w:rPr>
          <w:rFonts w:ascii="Arial" w:hAnsi="Arial" w:cs="Arial"/>
          <w:sz w:val="24"/>
          <w:szCs w:val="24"/>
        </w:rPr>
        <w:t xml:space="preserve">sequencing, construction of </w:t>
      </w:r>
      <w:r w:rsidR="004A4256">
        <w:rPr>
          <w:rFonts w:ascii="Arial" w:hAnsi="Arial" w:cs="Arial"/>
          <w:sz w:val="24"/>
          <w:szCs w:val="24"/>
        </w:rPr>
        <w:t xml:space="preserve">the </w:t>
      </w:r>
      <w:r w:rsidR="002D46D0" w:rsidRPr="0012003E">
        <w:rPr>
          <w:rFonts w:ascii="Arial" w:hAnsi="Arial" w:cs="Arial"/>
          <w:sz w:val="24"/>
          <w:szCs w:val="24"/>
        </w:rPr>
        <w:t xml:space="preserve">reference genome of our basic strain by </w:t>
      </w:r>
      <w:r w:rsidR="002D46D0" w:rsidRPr="0012003E">
        <w:rPr>
          <w:rFonts w:ascii="Arial" w:hAnsi="Arial" w:cs="Arial"/>
          <w:i/>
          <w:sz w:val="24"/>
          <w:szCs w:val="24"/>
        </w:rPr>
        <w:t>de novo</w:t>
      </w:r>
      <w:r w:rsidR="002D46D0" w:rsidRPr="0012003E">
        <w:rPr>
          <w:rFonts w:ascii="Arial" w:hAnsi="Arial" w:cs="Arial"/>
          <w:sz w:val="24"/>
          <w:szCs w:val="24"/>
        </w:rPr>
        <w:t xml:space="preserve"> assembly from raw reads (NCBI Sequence Read Archive, </w:t>
      </w:r>
      <w:hyperlink r:id="rId4" w:history="1">
        <w:r w:rsidR="002D46D0" w:rsidRPr="0012003E">
          <w:rPr>
            <w:rFonts w:ascii="Arial" w:hAnsi="Arial" w:cs="Arial"/>
            <w:sz w:val="24"/>
            <w:szCs w:val="24"/>
          </w:rPr>
          <w:t>www.ncbi.nlm.nih.gov/sra</w:t>
        </w:r>
      </w:hyperlink>
      <w:r w:rsidR="002D46D0" w:rsidRPr="0012003E">
        <w:rPr>
          <w:rFonts w:ascii="Arial" w:hAnsi="Arial" w:cs="Arial"/>
          <w:sz w:val="24"/>
          <w:szCs w:val="24"/>
        </w:rPr>
        <w:t xml:space="preserve">, [SRA: SRA057025]), </w:t>
      </w:r>
      <w:r w:rsidR="004A4256">
        <w:rPr>
          <w:rFonts w:ascii="Arial" w:hAnsi="Arial" w:cs="Arial"/>
          <w:sz w:val="24"/>
          <w:szCs w:val="24"/>
        </w:rPr>
        <w:t xml:space="preserve">and the </w:t>
      </w:r>
      <w:r w:rsidR="002D46D0" w:rsidRPr="0012003E">
        <w:rPr>
          <w:rFonts w:ascii="Arial" w:hAnsi="Arial" w:cs="Arial"/>
          <w:sz w:val="24"/>
          <w:szCs w:val="24"/>
        </w:rPr>
        <w:t>reference assembly of reads obtained by sequencing of genomes of mutants and single-nucleotide variant (SNV) detection</w:t>
      </w:r>
      <w:r w:rsidR="004A4256">
        <w:rPr>
          <w:rFonts w:ascii="Arial" w:hAnsi="Arial" w:cs="Arial"/>
          <w:sz w:val="24"/>
          <w:szCs w:val="24"/>
        </w:rPr>
        <w:t xml:space="preserve"> are</w:t>
      </w:r>
      <w:r w:rsidR="002D46D0" w:rsidRPr="0012003E">
        <w:rPr>
          <w:rFonts w:ascii="Arial" w:hAnsi="Arial" w:cs="Arial"/>
          <w:sz w:val="24"/>
          <w:szCs w:val="24"/>
        </w:rPr>
        <w:t xml:space="preserve"> described in </w:t>
      </w:r>
      <w:r w:rsidR="004A4256">
        <w:rPr>
          <w:rFonts w:ascii="Arial" w:hAnsi="Arial" w:cs="Arial"/>
          <w:sz w:val="24"/>
          <w:szCs w:val="24"/>
        </w:rPr>
        <w:t xml:space="preserve">an </w:t>
      </w:r>
      <w:r w:rsidR="002D46D0" w:rsidRPr="0012003E">
        <w:rPr>
          <w:rFonts w:ascii="Arial" w:hAnsi="Arial" w:cs="Arial"/>
          <w:sz w:val="24"/>
          <w:szCs w:val="24"/>
        </w:rPr>
        <w:t xml:space="preserve">article by AGL, Elena G. </w:t>
      </w:r>
      <w:proofErr w:type="spellStart"/>
      <w:r w:rsidR="002D46D0" w:rsidRPr="0012003E">
        <w:rPr>
          <w:rFonts w:ascii="Arial" w:hAnsi="Arial" w:cs="Arial"/>
          <w:sz w:val="24"/>
          <w:szCs w:val="24"/>
        </w:rPr>
        <w:t>Stepchenkova</w:t>
      </w:r>
      <w:proofErr w:type="spellEnd"/>
      <w:r w:rsidR="002D46D0" w:rsidRPr="0012003E">
        <w:rPr>
          <w:rFonts w:ascii="Arial" w:hAnsi="Arial" w:cs="Arial"/>
          <w:sz w:val="24"/>
          <w:szCs w:val="24"/>
        </w:rPr>
        <w:t xml:space="preserve">, Irina S.-R. </w:t>
      </w:r>
      <w:proofErr w:type="spellStart"/>
      <w:r w:rsidR="002D46D0" w:rsidRPr="0012003E">
        <w:rPr>
          <w:rFonts w:ascii="Arial" w:hAnsi="Arial" w:cs="Arial"/>
          <w:sz w:val="24"/>
          <w:szCs w:val="24"/>
        </w:rPr>
        <w:t>Waisertreiger</w:t>
      </w:r>
      <w:proofErr w:type="spellEnd"/>
      <w:r w:rsidR="002D46D0" w:rsidRPr="0012003E">
        <w:rPr>
          <w:rFonts w:ascii="Arial" w:hAnsi="Arial" w:cs="Arial"/>
          <w:sz w:val="24"/>
          <w:szCs w:val="24"/>
        </w:rPr>
        <w:t xml:space="preserve">, Vladimir N. </w:t>
      </w:r>
      <w:proofErr w:type="spellStart"/>
      <w:r w:rsidR="002D46D0" w:rsidRPr="0012003E">
        <w:rPr>
          <w:rFonts w:ascii="Arial" w:hAnsi="Arial" w:cs="Arial"/>
          <w:sz w:val="24"/>
          <w:szCs w:val="24"/>
        </w:rPr>
        <w:t>Noskov</w:t>
      </w:r>
      <w:proofErr w:type="spellEnd"/>
      <w:r w:rsidR="002D46D0" w:rsidRPr="0012003E">
        <w:rPr>
          <w:rFonts w:ascii="Arial" w:hAnsi="Arial" w:cs="Arial"/>
          <w:sz w:val="24"/>
          <w:szCs w:val="24"/>
        </w:rPr>
        <w:t xml:space="preserve">, AD, James D. </w:t>
      </w:r>
      <w:proofErr w:type="spellStart"/>
      <w:r w:rsidR="002D46D0" w:rsidRPr="0012003E">
        <w:rPr>
          <w:rFonts w:ascii="Arial" w:hAnsi="Arial" w:cs="Arial"/>
          <w:sz w:val="24"/>
          <w:szCs w:val="24"/>
        </w:rPr>
        <w:t>Eudy</w:t>
      </w:r>
      <w:proofErr w:type="spellEnd"/>
      <w:r w:rsidR="002D46D0" w:rsidRPr="0012003E">
        <w:rPr>
          <w:rFonts w:ascii="Arial" w:hAnsi="Arial" w:cs="Arial"/>
          <w:sz w:val="24"/>
          <w:szCs w:val="24"/>
        </w:rPr>
        <w:t>, RJB, MH, IBR, YIP, which is currently under review.</w:t>
      </w:r>
    </w:p>
    <w:p w:rsidR="00E86F3E" w:rsidRDefault="0012003E" w:rsidP="0012003E">
      <w:pPr>
        <w:spacing w:line="360" w:lineRule="auto"/>
        <w:rPr>
          <w:rFonts w:ascii="Arial" w:hAnsi="Arial" w:cs="Arial"/>
          <w:sz w:val="24"/>
          <w:szCs w:val="24"/>
        </w:rPr>
      </w:pPr>
      <w:proofErr w:type="gramStart"/>
      <w:r w:rsidRPr="0012003E">
        <w:rPr>
          <w:rFonts w:ascii="Arial" w:hAnsi="Arial" w:cs="Arial"/>
          <w:b/>
          <w:sz w:val="24"/>
          <w:szCs w:val="24"/>
        </w:rPr>
        <w:t>Statistical analysis of mutation distributions.</w:t>
      </w:r>
      <w:proofErr w:type="gramEnd"/>
      <w:r w:rsidRPr="0012003E">
        <w:rPr>
          <w:rFonts w:ascii="Arial" w:hAnsi="Arial" w:cs="Arial"/>
          <w:b/>
          <w:sz w:val="24"/>
          <w:szCs w:val="24"/>
        </w:rPr>
        <w:t xml:space="preserve"> </w:t>
      </w:r>
      <w:r w:rsidR="002D46D0" w:rsidRPr="0012003E">
        <w:rPr>
          <w:rFonts w:ascii="Arial" w:hAnsi="Arial" w:cs="Arial"/>
          <w:sz w:val="24"/>
          <w:szCs w:val="24"/>
        </w:rPr>
        <w:t xml:space="preserve">Mutation randomness analysis was done using C.A.MAN </w:t>
      </w:r>
      <w:r w:rsidR="00663F26" w:rsidRPr="0012003E">
        <w:rPr>
          <w:rFonts w:ascii="Arial" w:hAnsi="Arial" w:cs="Arial"/>
          <w:sz w:val="24"/>
          <w:szCs w:val="24"/>
        </w:rPr>
        <w:fldChar w:fldCharType="begin"/>
      </w:r>
      <w:r w:rsidR="002D46D0" w:rsidRPr="0012003E">
        <w:rPr>
          <w:rFonts w:ascii="Arial" w:hAnsi="Arial" w:cs="Arial"/>
          <w:sz w:val="24"/>
          <w:szCs w:val="24"/>
        </w:rPr>
        <w:instrText xml:space="preserve"> ADDIN EN.CITE &lt;EndNote&gt;&lt;Cite&gt;&lt;Author&gt;Bohning&lt;/Author&gt;&lt;Year&gt;1998&lt;/Year&gt;&lt;RecNum&gt;91&lt;/RecNum&gt;&lt;DisplayText&gt;[1]&lt;/DisplayText&gt;&lt;record&gt;&lt;rec-number&gt;91&lt;/rec-number&gt;&lt;foreign-keys&gt;&lt;key app="EN" db-id="90xrsvdt1xpxwqerpsv5psr0dr5z0xp0595d"&gt;91&lt;/key&gt;&lt;/foreign-keys&gt;&lt;ref-type name="Journal Article"&gt;17&lt;/ref-type&gt;&lt;contributors&gt;&lt;authors&gt;&lt;author&gt;Bohning, D.&lt;/author&gt;&lt;author&gt;Dietz, E.&lt;/author&gt;&lt;author&gt;Schlattmann, P.&lt;/author&gt;&lt;/authors&gt;&lt;/contributors&gt;&lt;auth-address&gt;Department of Epidemiology, Free University Berlin, Germany. boehning@zedat.fu-berlin.de&lt;/auth-address&gt;&lt;titles&gt;&lt;title&gt;Recent developments in computer-assisted analysis of mixtures&lt;/title&gt;&lt;secondary-title&gt;Biometrics&lt;/secondary-title&gt;&lt;/titles&gt;&lt;pages&gt;525-36&lt;/pages&gt;&lt;volume&gt;54&lt;/volume&gt;&lt;number&gt;2&lt;/number&gt;&lt;edition&gt;1998/07/11&lt;/edition&gt;&lt;keywords&gt;&lt;keyword&gt;Animals&lt;/keyword&gt;&lt;keyword&gt;Biometry/*methods&lt;/keyword&gt;&lt;keyword&gt;*Computer Simulation&lt;/keyword&gt;&lt;keyword&gt;Fertility&lt;/keyword&gt;&lt;keyword&gt;Humans&lt;/keyword&gt;&lt;keyword&gt;Meta-Analysis as Topic&lt;/keyword&gt;&lt;keyword&gt;*Models, Statistical&lt;/keyword&gt;&lt;keyword&gt;Numerical Analysis, Computer-Assisted&lt;/keyword&gt;&lt;keyword&gt;Statistics, Nonparametric&lt;/keyword&gt;&lt;keyword&gt;Veterinary Medicine&lt;/keyword&gt;&lt;/keywords&gt;&lt;dates&gt;&lt;year&gt;1998&lt;/year&gt;&lt;pub-dates&gt;&lt;date&gt;Jun&lt;/date&gt;&lt;/pub-dates&gt;&lt;/dates&gt;&lt;isbn&gt;0006-341X (Print)&amp;#xD;0006-341X (Linking)&lt;/isbn&gt;&lt;accession-num&gt;9660629&lt;/accession-num&gt;&lt;urls&gt;&lt;related-urls&gt;&lt;url&gt;http://www.ncbi.nlm.nih.gov/pubmed/9660629&lt;/url&gt;&lt;/related-urls&gt;&lt;/urls&gt;&lt;language&gt;eng&lt;/language&gt;&lt;/record&gt;&lt;/Cite&gt;&lt;/EndNote&gt;</w:instrText>
      </w:r>
      <w:r w:rsidR="00663F26" w:rsidRPr="0012003E">
        <w:rPr>
          <w:rFonts w:ascii="Arial" w:hAnsi="Arial" w:cs="Arial"/>
          <w:sz w:val="24"/>
          <w:szCs w:val="24"/>
        </w:rPr>
        <w:fldChar w:fldCharType="separate"/>
      </w:r>
      <w:r w:rsidR="002D46D0" w:rsidRPr="0012003E">
        <w:rPr>
          <w:rFonts w:ascii="Arial" w:hAnsi="Arial" w:cs="Arial"/>
          <w:noProof/>
          <w:sz w:val="24"/>
          <w:szCs w:val="24"/>
        </w:rPr>
        <w:t>[</w:t>
      </w:r>
      <w:hyperlink w:anchor="_ENREF_1" w:tooltip="Bohning, 1998 #91" w:history="1">
        <w:r w:rsidR="002D46D0" w:rsidRPr="0012003E">
          <w:rPr>
            <w:rFonts w:ascii="Arial" w:hAnsi="Arial" w:cs="Arial"/>
            <w:noProof/>
            <w:sz w:val="24"/>
            <w:szCs w:val="24"/>
          </w:rPr>
          <w:t>1</w:t>
        </w:r>
      </w:hyperlink>
      <w:r w:rsidR="002D46D0" w:rsidRPr="0012003E">
        <w:rPr>
          <w:rFonts w:ascii="Arial" w:hAnsi="Arial" w:cs="Arial"/>
          <w:noProof/>
          <w:sz w:val="24"/>
          <w:szCs w:val="24"/>
        </w:rPr>
        <w:t>]</w:t>
      </w:r>
      <w:r w:rsidR="00663F26" w:rsidRPr="0012003E">
        <w:rPr>
          <w:rFonts w:ascii="Arial" w:hAnsi="Arial" w:cs="Arial"/>
          <w:sz w:val="24"/>
          <w:szCs w:val="24"/>
        </w:rPr>
        <w:fldChar w:fldCharType="end"/>
      </w:r>
      <w:r w:rsidR="002D46D0" w:rsidRPr="0012003E">
        <w:rPr>
          <w:rFonts w:ascii="Arial" w:hAnsi="Arial" w:cs="Arial"/>
          <w:sz w:val="24"/>
          <w:szCs w:val="24"/>
        </w:rPr>
        <w:t xml:space="preserve"> by calculating the threshold values of the mutation densities per window. Briefly, this program classifies each window according to different mutation probabilities in the window, and each window should belong to only one class. The distribution of mutation number per window in each class is approximated by the Poisson distribution and an overall distribution is regarded as a mixture of Poisson distributions. Variations in mutation frequencies among windows of the same class are assumed to be due to random reasons (since mutation probability is the same for all sites in one class), whereas differences between mutation frequencies among windows from different classes are statistically significant. The C.A.MAN classification procedure that separates the distribution into classes is iterative and each iteration includes maximization and estimation procedures similar to </w:t>
      </w:r>
      <w:r w:rsidR="004A4256">
        <w:rPr>
          <w:rFonts w:ascii="Arial" w:hAnsi="Arial" w:cs="Arial"/>
          <w:sz w:val="24"/>
          <w:szCs w:val="24"/>
        </w:rPr>
        <w:t xml:space="preserve">the </w:t>
      </w:r>
      <w:r w:rsidR="002D46D0" w:rsidRPr="0012003E">
        <w:rPr>
          <w:rFonts w:ascii="Arial" w:hAnsi="Arial" w:cs="Arial"/>
          <w:sz w:val="24"/>
          <w:szCs w:val="24"/>
        </w:rPr>
        <w:t xml:space="preserve">methods </w:t>
      </w:r>
      <w:r w:rsidR="004A4256">
        <w:rPr>
          <w:rFonts w:ascii="Arial" w:hAnsi="Arial" w:cs="Arial"/>
          <w:sz w:val="24"/>
          <w:szCs w:val="24"/>
        </w:rPr>
        <w:t xml:space="preserve">used </w:t>
      </w:r>
      <w:r w:rsidR="002D46D0" w:rsidRPr="0012003E">
        <w:rPr>
          <w:rFonts w:ascii="Arial" w:hAnsi="Arial" w:cs="Arial"/>
          <w:sz w:val="24"/>
          <w:szCs w:val="24"/>
        </w:rPr>
        <w:t xml:space="preserve">for </w:t>
      </w:r>
      <w:r w:rsidR="004A4256">
        <w:rPr>
          <w:rFonts w:ascii="Arial" w:hAnsi="Arial" w:cs="Arial"/>
          <w:sz w:val="24"/>
          <w:szCs w:val="24"/>
        </w:rPr>
        <w:t xml:space="preserve">the </w:t>
      </w:r>
      <w:r w:rsidR="002D46D0" w:rsidRPr="0012003E">
        <w:rPr>
          <w:rFonts w:ascii="Arial" w:hAnsi="Arial" w:cs="Arial"/>
          <w:sz w:val="24"/>
          <w:szCs w:val="24"/>
        </w:rPr>
        <w:t xml:space="preserve">detection of mutation hotspots (reviewed in </w:t>
      </w:r>
      <w:r w:rsidR="00663F26" w:rsidRPr="0012003E">
        <w:rPr>
          <w:rFonts w:ascii="Arial" w:hAnsi="Arial" w:cs="Arial"/>
          <w:sz w:val="24"/>
          <w:szCs w:val="24"/>
        </w:rPr>
        <w:fldChar w:fldCharType="begin"/>
      </w:r>
      <w:r w:rsidR="002D46D0" w:rsidRPr="0012003E">
        <w:rPr>
          <w:rFonts w:ascii="Arial" w:hAnsi="Arial" w:cs="Arial"/>
          <w:sz w:val="24"/>
          <w:szCs w:val="24"/>
        </w:rPr>
        <w:instrText xml:space="preserve"> ADDIN EN.CITE &lt;EndNote&gt;&lt;Cite&gt;&lt;Author&gt;Rogozin&lt;/Author&gt;&lt;Year&gt;2003&lt;/Year&gt;&lt;RecNum&gt;98&lt;/RecNum&gt;&lt;DisplayText&gt;[2]&lt;/DisplayText&gt;&lt;record&gt;&lt;rec-number&gt;98&lt;/rec-number&gt;&lt;foreign-keys&gt;&lt;key app="EN" db-id="90xrsvdt1xpxwqerpsv5psr0dr5z0xp0595d"&gt;98&lt;/key&gt;&lt;/foreign-keys&gt;&lt;ref-type name="Journal Article"&gt;17&lt;/ref-type&gt;&lt;contributors&gt;&lt;authors&gt;&lt;author&gt;Rogozin, I. B.&lt;/author&gt;&lt;author&gt;Pavlov, Y. I.&lt;/author&gt;&lt;/authors&gt;&lt;/contributors&gt;&lt;auth-address&gt;Institute of Cytology and Genetics, Russian Academy of Sciences, Novosibirsk, Russia.&lt;/auth-address&gt;&lt;titles&gt;&lt;title&gt;Theoretical analysis of mutation hotspots and their DNA sequence context specificity&lt;/title&gt;&lt;secondary-title&gt;Mutat Res&lt;/secondary-title&gt;&lt;/titles&gt;&lt;pages&gt;65-85&lt;/pages&gt;&lt;volume&gt;544&lt;/volume&gt;&lt;number&gt;1&lt;/number&gt;&lt;keywords&gt;&lt;keyword&gt;Animals&lt;/keyword&gt;&lt;keyword&gt;Base Sequence&lt;/keyword&gt;&lt;keyword&gt;Computational Biology&lt;/keyword&gt;&lt;keyword&gt;DNA/*genetics&lt;/keyword&gt;&lt;keyword&gt;DNA Mutational Analysis/*methods&lt;/keyword&gt;&lt;keyword&gt;Escherichia coli/genetics&lt;/keyword&gt;&lt;keyword&gt;Escherichia coli Proteins/genetics&lt;/keyword&gt;&lt;keyword&gt;Immunoglobulins/genetics&lt;/keyword&gt;&lt;keyword&gt;*Models, Theoretical&lt;/keyword&gt;&lt;keyword&gt;Molecular Sequence Data&lt;/keyword&gt;&lt;keyword&gt;Mutagenesis&lt;/keyword&gt;&lt;keyword&gt;*Mutation&lt;/keyword&gt;&lt;keyword&gt;Nucleotides/genetics&lt;/keyword&gt;&lt;keyword&gt;Phosphoric Monoester Hydrolases/genetics&lt;/keyword&gt;&lt;keyword&gt;Pyrophosphatases&lt;/keyword&gt;&lt;keyword&gt;Regression Analysis&lt;/keyword&gt;&lt;/keywords&gt;&lt;dates&gt;&lt;year&gt;2003&lt;/year&gt;&lt;pub-dates&gt;&lt;date&gt;Sep&lt;/date&gt;&lt;/pub-dates&gt;&lt;/dates&gt;&lt;accession-num&gt;12888108&lt;/accession-num&gt;&lt;urls&gt;&lt;related-urls&gt;&lt;url&gt;http://www.ncbi.nlm.nih.gov/entrez/query.fcgi?cmd=Retrieve&amp;amp;db=PubMed&amp;amp;dopt=Citation&amp;amp;list_uids=12888108&lt;/url&gt;&lt;/related-urls&gt;&lt;/urls&gt;&lt;/record&gt;&lt;/Cite&gt;&lt;/EndNote&gt;</w:instrText>
      </w:r>
      <w:r w:rsidR="00663F26" w:rsidRPr="0012003E">
        <w:rPr>
          <w:rFonts w:ascii="Arial" w:hAnsi="Arial" w:cs="Arial"/>
          <w:sz w:val="24"/>
          <w:szCs w:val="24"/>
        </w:rPr>
        <w:fldChar w:fldCharType="separate"/>
      </w:r>
      <w:r w:rsidR="002D46D0" w:rsidRPr="0012003E">
        <w:rPr>
          <w:rFonts w:ascii="Arial" w:hAnsi="Arial" w:cs="Arial"/>
          <w:noProof/>
          <w:sz w:val="24"/>
          <w:szCs w:val="24"/>
        </w:rPr>
        <w:t>[</w:t>
      </w:r>
      <w:hyperlink w:anchor="_ENREF_2" w:tooltip="Rogozin, 2003 #98" w:history="1">
        <w:r w:rsidR="002D46D0" w:rsidRPr="0012003E">
          <w:rPr>
            <w:rFonts w:ascii="Arial" w:hAnsi="Arial" w:cs="Arial"/>
            <w:noProof/>
            <w:sz w:val="24"/>
            <w:szCs w:val="24"/>
          </w:rPr>
          <w:t>2</w:t>
        </w:r>
      </w:hyperlink>
      <w:r w:rsidR="002D46D0" w:rsidRPr="0012003E">
        <w:rPr>
          <w:rFonts w:ascii="Arial" w:hAnsi="Arial" w:cs="Arial"/>
          <w:noProof/>
          <w:sz w:val="24"/>
          <w:szCs w:val="24"/>
        </w:rPr>
        <w:t>]</w:t>
      </w:r>
      <w:r w:rsidR="00663F26" w:rsidRPr="0012003E">
        <w:rPr>
          <w:rFonts w:ascii="Arial" w:hAnsi="Arial" w:cs="Arial"/>
          <w:sz w:val="24"/>
          <w:szCs w:val="24"/>
        </w:rPr>
        <w:fldChar w:fldCharType="end"/>
      </w:r>
      <w:r w:rsidR="002D46D0" w:rsidRPr="0012003E">
        <w:rPr>
          <w:rFonts w:ascii="Arial" w:hAnsi="Arial" w:cs="Arial"/>
          <w:sz w:val="24"/>
          <w:szCs w:val="24"/>
        </w:rPr>
        <w:t>). Analysis of the distribution of HAP-induced mutations revealed three classes of windows. The first class include</w:t>
      </w:r>
      <w:r w:rsidR="004A4256">
        <w:rPr>
          <w:rFonts w:ascii="Arial" w:hAnsi="Arial" w:cs="Arial"/>
          <w:sz w:val="24"/>
          <w:szCs w:val="24"/>
        </w:rPr>
        <w:t>s</w:t>
      </w:r>
      <w:r w:rsidR="002D46D0" w:rsidRPr="0012003E">
        <w:rPr>
          <w:rFonts w:ascii="Arial" w:hAnsi="Arial" w:cs="Arial"/>
          <w:sz w:val="24"/>
          <w:szCs w:val="24"/>
        </w:rPr>
        <w:t xml:space="preserve"> windows with </w:t>
      </w:r>
      <w:r w:rsidR="004A4256">
        <w:rPr>
          <w:rFonts w:ascii="Arial" w:hAnsi="Arial" w:cs="Arial"/>
          <w:sz w:val="24"/>
          <w:szCs w:val="24"/>
        </w:rPr>
        <w:t xml:space="preserve">a </w:t>
      </w:r>
      <w:r w:rsidR="002D46D0" w:rsidRPr="0012003E">
        <w:rPr>
          <w:rFonts w:ascii="Arial" w:hAnsi="Arial" w:cs="Arial"/>
          <w:sz w:val="24"/>
          <w:szCs w:val="24"/>
        </w:rPr>
        <w:t>number of mu</w:t>
      </w:r>
      <w:r w:rsidR="004A4256">
        <w:rPr>
          <w:rFonts w:ascii="Arial" w:hAnsi="Arial" w:cs="Arial"/>
          <w:sz w:val="24"/>
          <w:szCs w:val="24"/>
        </w:rPr>
        <w:t>tations less than or equal to 5;</w:t>
      </w:r>
      <w:r w:rsidR="002D46D0" w:rsidRPr="0012003E">
        <w:rPr>
          <w:rFonts w:ascii="Arial" w:hAnsi="Arial" w:cs="Arial"/>
          <w:sz w:val="24"/>
          <w:szCs w:val="24"/>
        </w:rPr>
        <w:t xml:space="preserve"> </w:t>
      </w:r>
      <w:r w:rsidR="004A4256">
        <w:rPr>
          <w:rFonts w:ascii="Arial" w:hAnsi="Arial" w:cs="Arial"/>
          <w:sz w:val="24"/>
          <w:szCs w:val="24"/>
        </w:rPr>
        <w:t xml:space="preserve">and </w:t>
      </w:r>
      <w:r w:rsidR="002D46D0" w:rsidRPr="0012003E">
        <w:rPr>
          <w:rFonts w:ascii="Arial" w:hAnsi="Arial" w:cs="Arial"/>
          <w:sz w:val="24"/>
          <w:szCs w:val="24"/>
        </w:rPr>
        <w:t xml:space="preserve">the second class includes highly mutable regions with the mutation frequency from 6 to 18. </w:t>
      </w:r>
      <w:r w:rsidR="004A4256">
        <w:rPr>
          <w:rFonts w:ascii="Arial" w:hAnsi="Arial" w:cs="Arial"/>
          <w:sz w:val="24"/>
          <w:szCs w:val="24"/>
        </w:rPr>
        <w:t>The threshold value of s</w:t>
      </w:r>
      <w:r w:rsidR="004A4256" w:rsidRPr="00E95780">
        <w:rPr>
          <w:rFonts w:ascii="Arial" w:hAnsi="Arial" w:cs="Arial"/>
          <w:sz w:val="24"/>
          <w:szCs w:val="24"/>
        </w:rPr>
        <w:t xml:space="preserve">ix </w:t>
      </w:r>
      <w:r w:rsidR="004A4256" w:rsidRPr="00E95780">
        <w:rPr>
          <w:rFonts w:ascii="Arial" w:hAnsi="Arial" w:cs="Arial"/>
          <w:sz w:val="24"/>
          <w:szCs w:val="24"/>
        </w:rPr>
        <w:lastRenderedPageBreak/>
        <w:t>mutations per window w</w:t>
      </w:r>
      <w:r w:rsidR="004A4256">
        <w:rPr>
          <w:rFonts w:ascii="Arial" w:hAnsi="Arial" w:cs="Arial"/>
          <w:sz w:val="24"/>
          <w:szCs w:val="24"/>
        </w:rPr>
        <w:t>as</w:t>
      </w:r>
      <w:r w:rsidR="004A4256" w:rsidRPr="00E95780">
        <w:rPr>
          <w:rFonts w:ascii="Arial" w:hAnsi="Arial" w:cs="Arial"/>
          <w:sz w:val="24"/>
          <w:szCs w:val="24"/>
        </w:rPr>
        <w:t xml:space="preserve"> chosen for determining highly mutable windows.</w:t>
      </w:r>
      <w:r w:rsidR="004A4256">
        <w:rPr>
          <w:rFonts w:ascii="Arial" w:hAnsi="Arial" w:cs="Arial"/>
          <w:sz w:val="24"/>
          <w:szCs w:val="24"/>
        </w:rPr>
        <w:t xml:space="preserve"> </w:t>
      </w:r>
      <w:r w:rsidR="002D46D0" w:rsidRPr="0012003E">
        <w:rPr>
          <w:rFonts w:ascii="Arial" w:hAnsi="Arial" w:cs="Arial"/>
          <w:sz w:val="24"/>
          <w:szCs w:val="24"/>
        </w:rPr>
        <w:t xml:space="preserve"> Analysis of the number of PmCDA1-induced mutations revealed three classes of windows. The first class include</w:t>
      </w:r>
      <w:r w:rsidR="004A4256">
        <w:rPr>
          <w:rFonts w:ascii="Arial" w:hAnsi="Arial" w:cs="Arial"/>
          <w:sz w:val="24"/>
          <w:szCs w:val="24"/>
        </w:rPr>
        <w:t>s</w:t>
      </w:r>
      <w:r w:rsidR="002D46D0" w:rsidRPr="0012003E">
        <w:rPr>
          <w:rFonts w:ascii="Arial" w:hAnsi="Arial" w:cs="Arial"/>
          <w:sz w:val="24"/>
          <w:szCs w:val="24"/>
        </w:rPr>
        <w:t xml:space="preserve"> windows with </w:t>
      </w:r>
      <w:r w:rsidR="004A4256">
        <w:rPr>
          <w:rFonts w:ascii="Arial" w:hAnsi="Arial" w:cs="Arial"/>
          <w:sz w:val="24"/>
          <w:szCs w:val="24"/>
        </w:rPr>
        <w:t xml:space="preserve">a </w:t>
      </w:r>
      <w:r w:rsidR="002D46D0" w:rsidRPr="0012003E">
        <w:rPr>
          <w:rFonts w:ascii="Arial" w:hAnsi="Arial" w:cs="Arial"/>
          <w:sz w:val="24"/>
          <w:szCs w:val="24"/>
        </w:rPr>
        <w:t>number of mutations less than or equal to 4</w:t>
      </w:r>
      <w:r w:rsidR="004A4256">
        <w:rPr>
          <w:rFonts w:ascii="Arial" w:hAnsi="Arial" w:cs="Arial"/>
          <w:sz w:val="24"/>
          <w:szCs w:val="24"/>
        </w:rPr>
        <w:t>;</w:t>
      </w:r>
      <w:r w:rsidR="002D46D0" w:rsidRPr="0012003E">
        <w:rPr>
          <w:rFonts w:ascii="Arial" w:hAnsi="Arial" w:cs="Arial"/>
          <w:sz w:val="24"/>
          <w:szCs w:val="24"/>
        </w:rPr>
        <w:t xml:space="preserve"> the second class includes highly mutable windows with the </w:t>
      </w:r>
      <w:r w:rsidR="004A4256">
        <w:rPr>
          <w:rFonts w:ascii="Arial" w:hAnsi="Arial" w:cs="Arial"/>
          <w:sz w:val="24"/>
          <w:szCs w:val="24"/>
        </w:rPr>
        <w:t>mutation frequency from 5 to 11;</w:t>
      </w:r>
      <w:r w:rsidR="002D46D0" w:rsidRPr="0012003E">
        <w:rPr>
          <w:rFonts w:ascii="Arial" w:hAnsi="Arial" w:cs="Arial"/>
          <w:sz w:val="24"/>
          <w:szCs w:val="24"/>
        </w:rPr>
        <w:t xml:space="preserve"> and the third class comprises obvious hypermutable windows (number of mutations 14, 15, 17, and 22). A number of five mutations per window </w:t>
      </w:r>
      <w:proofErr w:type="gramStart"/>
      <w:r w:rsidR="002D46D0" w:rsidRPr="0012003E">
        <w:rPr>
          <w:rFonts w:ascii="Arial" w:hAnsi="Arial" w:cs="Arial"/>
          <w:sz w:val="24"/>
          <w:szCs w:val="24"/>
        </w:rPr>
        <w:t>was</w:t>
      </w:r>
      <w:proofErr w:type="gramEnd"/>
      <w:r w:rsidR="002D46D0" w:rsidRPr="0012003E">
        <w:rPr>
          <w:rFonts w:ascii="Arial" w:hAnsi="Arial" w:cs="Arial"/>
          <w:sz w:val="24"/>
          <w:szCs w:val="24"/>
        </w:rPr>
        <w:t xml:space="preserve"> chosen as the threshold value for determining highly mutable windows.</w:t>
      </w:r>
      <w:bookmarkStart w:id="0" w:name="_GoBack"/>
      <w:bookmarkEnd w:id="0"/>
    </w:p>
    <w:p w:rsidR="008268E5" w:rsidRPr="008268E5" w:rsidRDefault="008268E5" w:rsidP="0012003E">
      <w:pPr>
        <w:spacing w:line="360" w:lineRule="auto"/>
        <w:rPr>
          <w:rFonts w:ascii="Arial" w:hAnsi="Arial" w:cs="Arial"/>
          <w:b/>
          <w:sz w:val="24"/>
          <w:szCs w:val="24"/>
        </w:rPr>
      </w:pPr>
      <w:r w:rsidRPr="008268E5">
        <w:rPr>
          <w:rFonts w:ascii="Arial" w:hAnsi="Arial" w:cs="Arial"/>
          <w:b/>
          <w:sz w:val="24"/>
          <w:szCs w:val="24"/>
        </w:rPr>
        <w:t>References:</w:t>
      </w:r>
    </w:p>
    <w:p w:rsidR="002D46D0" w:rsidRPr="0012003E" w:rsidRDefault="00663F26" w:rsidP="0012003E">
      <w:pPr>
        <w:spacing w:after="0" w:line="360" w:lineRule="auto"/>
        <w:ind w:left="720" w:hanging="720"/>
        <w:rPr>
          <w:rFonts w:ascii="Arial" w:hAnsi="Arial" w:cs="Arial"/>
          <w:noProof/>
          <w:sz w:val="24"/>
          <w:szCs w:val="24"/>
        </w:rPr>
      </w:pPr>
      <w:r w:rsidRPr="0012003E">
        <w:rPr>
          <w:rFonts w:ascii="Arial" w:hAnsi="Arial" w:cs="Arial"/>
          <w:sz w:val="24"/>
          <w:szCs w:val="24"/>
        </w:rPr>
        <w:fldChar w:fldCharType="begin"/>
      </w:r>
      <w:r w:rsidR="002D46D0" w:rsidRPr="0012003E">
        <w:rPr>
          <w:rFonts w:ascii="Arial" w:hAnsi="Arial" w:cs="Arial"/>
          <w:sz w:val="24"/>
          <w:szCs w:val="24"/>
        </w:rPr>
        <w:instrText xml:space="preserve"> ADDIN EN.REFLIST </w:instrText>
      </w:r>
      <w:r w:rsidRPr="0012003E">
        <w:rPr>
          <w:rFonts w:ascii="Arial" w:hAnsi="Arial" w:cs="Arial"/>
          <w:sz w:val="24"/>
          <w:szCs w:val="24"/>
        </w:rPr>
        <w:fldChar w:fldCharType="separate"/>
      </w:r>
      <w:bookmarkStart w:id="1" w:name="_ENREF_1"/>
      <w:r w:rsidR="002D46D0" w:rsidRPr="0012003E">
        <w:rPr>
          <w:rFonts w:ascii="Arial" w:hAnsi="Arial" w:cs="Arial"/>
          <w:noProof/>
          <w:sz w:val="24"/>
          <w:szCs w:val="24"/>
        </w:rPr>
        <w:t>1.</w:t>
      </w:r>
      <w:r w:rsidR="002D46D0" w:rsidRPr="0012003E">
        <w:rPr>
          <w:rFonts w:ascii="Arial" w:hAnsi="Arial" w:cs="Arial"/>
          <w:noProof/>
          <w:sz w:val="24"/>
          <w:szCs w:val="24"/>
        </w:rPr>
        <w:tab/>
        <w:t xml:space="preserve">Bohning D, Dietz E, Schlattmann P: </w:t>
      </w:r>
      <w:r w:rsidR="002D46D0" w:rsidRPr="0012003E">
        <w:rPr>
          <w:rFonts w:ascii="Arial" w:hAnsi="Arial" w:cs="Arial"/>
          <w:b/>
          <w:noProof/>
          <w:sz w:val="24"/>
          <w:szCs w:val="24"/>
        </w:rPr>
        <w:t>Recent developments in computer-assisted analysis of mixtures.</w:t>
      </w:r>
      <w:r w:rsidR="002D46D0" w:rsidRPr="0012003E">
        <w:rPr>
          <w:rFonts w:ascii="Arial" w:hAnsi="Arial" w:cs="Arial"/>
          <w:noProof/>
          <w:sz w:val="24"/>
          <w:szCs w:val="24"/>
        </w:rPr>
        <w:t xml:space="preserve"> </w:t>
      </w:r>
      <w:r w:rsidR="002D46D0" w:rsidRPr="0012003E">
        <w:rPr>
          <w:rFonts w:ascii="Arial" w:hAnsi="Arial" w:cs="Arial"/>
          <w:i/>
          <w:noProof/>
          <w:sz w:val="24"/>
          <w:szCs w:val="24"/>
        </w:rPr>
        <w:t xml:space="preserve">Biometrics </w:t>
      </w:r>
      <w:r w:rsidR="002D46D0" w:rsidRPr="0012003E">
        <w:rPr>
          <w:rFonts w:ascii="Arial" w:hAnsi="Arial" w:cs="Arial"/>
          <w:noProof/>
          <w:sz w:val="24"/>
          <w:szCs w:val="24"/>
        </w:rPr>
        <w:t xml:space="preserve">1998, </w:t>
      </w:r>
      <w:r w:rsidR="002D46D0" w:rsidRPr="0012003E">
        <w:rPr>
          <w:rFonts w:ascii="Arial" w:hAnsi="Arial" w:cs="Arial"/>
          <w:b/>
          <w:noProof/>
          <w:sz w:val="24"/>
          <w:szCs w:val="24"/>
        </w:rPr>
        <w:t>54:</w:t>
      </w:r>
      <w:r w:rsidR="002D46D0" w:rsidRPr="0012003E">
        <w:rPr>
          <w:rFonts w:ascii="Arial" w:hAnsi="Arial" w:cs="Arial"/>
          <w:noProof/>
          <w:sz w:val="24"/>
          <w:szCs w:val="24"/>
        </w:rPr>
        <w:t>525-536.</w:t>
      </w:r>
      <w:bookmarkEnd w:id="1"/>
    </w:p>
    <w:p w:rsidR="002D46D0" w:rsidRPr="0012003E" w:rsidRDefault="002D46D0" w:rsidP="0012003E">
      <w:pPr>
        <w:spacing w:line="360" w:lineRule="auto"/>
        <w:ind w:left="720" w:hanging="720"/>
        <w:rPr>
          <w:rFonts w:ascii="Arial" w:hAnsi="Arial" w:cs="Arial"/>
          <w:noProof/>
          <w:sz w:val="24"/>
          <w:szCs w:val="24"/>
        </w:rPr>
      </w:pPr>
      <w:bookmarkStart w:id="2" w:name="_ENREF_2"/>
      <w:r w:rsidRPr="0012003E">
        <w:rPr>
          <w:rFonts w:ascii="Arial" w:hAnsi="Arial" w:cs="Arial"/>
          <w:noProof/>
          <w:sz w:val="24"/>
          <w:szCs w:val="24"/>
        </w:rPr>
        <w:t>2.</w:t>
      </w:r>
      <w:r w:rsidRPr="0012003E">
        <w:rPr>
          <w:rFonts w:ascii="Arial" w:hAnsi="Arial" w:cs="Arial"/>
          <w:noProof/>
          <w:sz w:val="24"/>
          <w:szCs w:val="24"/>
        </w:rPr>
        <w:tab/>
        <w:t xml:space="preserve">Rogozin IB, Pavlov YI: </w:t>
      </w:r>
      <w:r w:rsidRPr="0012003E">
        <w:rPr>
          <w:rFonts w:ascii="Arial" w:hAnsi="Arial" w:cs="Arial"/>
          <w:b/>
          <w:noProof/>
          <w:sz w:val="24"/>
          <w:szCs w:val="24"/>
        </w:rPr>
        <w:t>Theoretical analysis of mutation hotspots and their DNA sequence context specificity.</w:t>
      </w:r>
      <w:r w:rsidRPr="0012003E">
        <w:rPr>
          <w:rFonts w:ascii="Arial" w:hAnsi="Arial" w:cs="Arial"/>
          <w:noProof/>
          <w:sz w:val="24"/>
          <w:szCs w:val="24"/>
        </w:rPr>
        <w:t xml:space="preserve"> </w:t>
      </w:r>
      <w:r w:rsidRPr="0012003E">
        <w:rPr>
          <w:rFonts w:ascii="Arial" w:hAnsi="Arial" w:cs="Arial"/>
          <w:i/>
          <w:noProof/>
          <w:sz w:val="24"/>
          <w:szCs w:val="24"/>
        </w:rPr>
        <w:t xml:space="preserve">Mutat Res </w:t>
      </w:r>
      <w:r w:rsidRPr="0012003E">
        <w:rPr>
          <w:rFonts w:ascii="Arial" w:hAnsi="Arial" w:cs="Arial"/>
          <w:noProof/>
          <w:sz w:val="24"/>
          <w:szCs w:val="24"/>
        </w:rPr>
        <w:t xml:space="preserve">2003, </w:t>
      </w:r>
      <w:r w:rsidRPr="0012003E">
        <w:rPr>
          <w:rFonts w:ascii="Arial" w:hAnsi="Arial" w:cs="Arial"/>
          <w:b/>
          <w:noProof/>
          <w:sz w:val="24"/>
          <w:szCs w:val="24"/>
        </w:rPr>
        <w:t>544:</w:t>
      </w:r>
      <w:r w:rsidRPr="0012003E">
        <w:rPr>
          <w:rFonts w:ascii="Arial" w:hAnsi="Arial" w:cs="Arial"/>
          <w:noProof/>
          <w:sz w:val="24"/>
          <w:szCs w:val="24"/>
        </w:rPr>
        <w:t>65-85.</w:t>
      </w:r>
      <w:bookmarkEnd w:id="2"/>
    </w:p>
    <w:p w:rsidR="002D46D0" w:rsidRPr="0012003E" w:rsidRDefault="002D46D0" w:rsidP="0012003E">
      <w:pPr>
        <w:spacing w:line="360" w:lineRule="auto"/>
        <w:rPr>
          <w:rFonts w:ascii="Arial" w:hAnsi="Arial" w:cs="Arial"/>
          <w:noProof/>
          <w:sz w:val="24"/>
          <w:szCs w:val="24"/>
        </w:rPr>
      </w:pPr>
    </w:p>
    <w:p w:rsidR="002D46D0" w:rsidRPr="0012003E" w:rsidRDefault="00663F26" w:rsidP="0012003E">
      <w:pPr>
        <w:spacing w:line="360" w:lineRule="auto"/>
        <w:rPr>
          <w:rFonts w:ascii="Arial" w:hAnsi="Arial" w:cs="Arial"/>
          <w:sz w:val="24"/>
          <w:szCs w:val="24"/>
        </w:rPr>
      </w:pPr>
      <w:r w:rsidRPr="0012003E">
        <w:rPr>
          <w:rFonts w:ascii="Arial" w:hAnsi="Arial" w:cs="Arial"/>
          <w:sz w:val="24"/>
          <w:szCs w:val="24"/>
        </w:rPr>
        <w:fldChar w:fldCharType="end"/>
      </w:r>
    </w:p>
    <w:sectPr w:rsidR="002D46D0" w:rsidRPr="0012003E" w:rsidSect="00FA53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charset w:val="51"/>
    <w:family w:val="auto"/>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EN.Layout" w:val="&lt;ENLayout&gt;&lt;Style&gt;biomedcentr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0xrsvdt1xpxwqerpsv5psr0dr5z0xp0595d&quot;&gt;Biology Direct&lt;record-ids&gt;&lt;item&gt;91&lt;/item&gt;&lt;item&gt;98&lt;/item&gt;&lt;/record-ids&gt;&lt;/item&gt;&lt;/Libraries&gt;"/>
  </w:docVars>
  <w:rsids>
    <w:rsidRoot w:val="00256DA4"/>
    <w:rsid w:val="0012003E"/>
    <w:rsid w:val="00197774"/>
    <w:rsid w:val="00231C8F"/>
    <w:rsid w:val="00256DA4"/>
    <w:rsid w:val="002D46D0"/>
    <w:rsid w:val="00312404"/>
    <w:rsid w:val="003E5180"/>
    <w:rsid w:val="004A4256"/>
    <w:rsid w:val="00510D1B"/>
    <w:rsid w:val="00663F26"/>
    <w:rsid w:val="008268E5"/>
    <w:rsid w:val="0087363C"/>
    <w:rsid w:val="00A01615"/>
    <w:rsid w:val="00C9152A"/>
    <w:rsid w:val="00DB1AF7"/>
    <w:rsid w:val="00E86F3E"/>
    <w:rsid w:val="00FA30DF"/>
    <w:rsid w:val="00FA53D3"/>
    <w:rsid w:val="00FB2B41"/>
    <w:rsid w:val="00FC4A3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6D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46D0"/>
    <w:rPr>
      <w:color w:val="0000FF" w:themeColor="hyperlink"/>
      <w:u w:val="single"/>
    </w:rPr>
  </w:style>
  <w:style w:type="character" w:styleId="CommentReference">
    <w:name w:val="annotation reference"/>
    <w:basedOn w:val="DefaultParagraphFont"/>
    <w:uiPriority w:val="99"/>
    <w:semiHidden/>
    <w:unhideWhenUsed/>
    <w:rsid w:val="00DB1AF7"/>
    <w:rPr>
      <w:sz w:val="16"/>
      <w:szCs w:val="16"/>
    </w:rPr>
  </w:style>
  <w:style w:type="paragraph" w:styleId="CommentText">
    <w:name w:val="annotation text"/>
    <w:basedOn w:val="Normal"/>
    <w:link w:val="CommentTextChar"/>
    <w:uiPriority w:val="99"/>
    <w:semiHidden/>
    <w:unhideWhenUsed/>
    <w:rsid w:val="00DB1AF7"/>
    <w:pPr>
      <w:spacing w:line="240" w:lineRule="auto"/>
    </w:pPr>
    <w:rPr>
      <w:sz w:val="20"/>
      <w:szCs w:val="20"/>
    </w:rPr>
  </w:style>
  <w:style w:type="character" w:customStyle="1" w:styleId="CommentTextChar">
    <w:name w:val="Comment Text Char"/>
    <w:basedOn w:val="DefaultParagraphFont"/>
    <w:link w:val="CommentText"/>
    <w:uiPriority w:val="99"/>
    <w:semiHidden/>
    <w:rsid w:val="00DB1AF7"/>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6D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46D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cbi.nlm.nih.gov/s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Artem G. Lada</dc:creator>
  <cp:lastModifiedBy>Youri Pavlov</cp:lastModifiedBy>
  <cp:revision>8</cp:revision>
  <dcterms:created xsi:type="dcterms:W3CDTF">2012-11-20T04:34:00Z</dcterms:created>
  <dcterms:modified xsi:type="dcterms:W3CDTF">2012-12-15T04:30:00Z</dcterms:modified>
</cp:coreProperties>
</file>