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DBC" w:rsidRPr="00BF1DBC" w:rsidRDefault="00BF1DBC" w:rsidP="00BF1DBC">
      <w:pPr>
        <w:spacing w:after="0"/>
        <w:rPr>
          <w:sz w:val="24"/>
          <w:szCs w:val="24"/>
        </w:rPr>
      </w:pPr>
    </w:p>
    <w:p w:rsidR="00BF1DBC" w:rsidRPr="00BF1DBC" w:rsidRDefault="00BF1DBC" w:rsidP="00BF1DBC">
      <w:pPr>
        <w:spacing w:after="0"/>
        <w:rPr>
          <w:b/>
          <w:sz w:val="24"/>
          <w:szCs w:val="24"/>
        </w:rPr>
      </w:pPr>
      <w:r w:rsidRPr="00BF1DBC">
        <w:rPr>
          <w:b/>
          <w:sz w:val="24"/>
          <w:szCs w:val="24"/>
        </w:rPr>
        <w:t xml:space="preserve">Table 5 - Predisposing conditions to the headache </w:t>
      </w:r>
    </w:p>
    <w:p w:rsidR="00BF1DBC" w:rsidRPr="00BF1DBC" w:rsidRDefault="00BF1DBC" w:rsidP="00BF1DBC">
      <w:pPr>
        <w:spacing w:after="0"/>
        <w:rPr>
          <w:b/>
          <w:sz w:val="24"/>
          <w:szCs w:val="24"/>
        </w:rPr>
      </w:pPr>
    </w:p>
    <w:p w:rsidR="00BF1DBC" w:rsidRPr="00BF1DBC" w:rsidRDefault="00BF1DBC" w:rsidP="00BF1DBC">
      <w:pPr>
        <w:spacing w:after="0"/>
        <w:rPr>
          <w:b/>
          <w:sz w:val="24"/>
          <w:szCs w:val="24"/>
        </w:rPr>
      </w:pPr>
    </w:p>
    <w:p w:rsidR="00BF1DBC" w:rsidRPr="00BF1DBC" w:rsidRDefault="00BF1DBC" w:rsidP="00BF1DBC">
      <w:pPr>
        <w:spacing w:after="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F1DBC" w:rsidRPr="00BF1DBC" w:rsidTr="009475E0">
        <w:tc>
          <w:tcPr>
            <w:tcW w:w="3192" w:type="dxa"/>
          </w:tcPr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 xml:space="preserve">Factors preceding the headache </w:t>
            </w:r>
          </w:p>
        </w:tc>
        <w:tc>
          <w:tcPr>
            <w:tcW w:w="3192" w:type="dxa"/>
          </w:tcPr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Frequency (N = 117)</w:t>
            </w:r>
          </w:p>
        </w:tc>
        <w:tc>
          <w:tcPr>
            <w:tcW w:w="3192" w:type="dxa"/>
          </w:tcPr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Percent</w:t>
            </w:r>
          </w:p>
        </w:tc>
      </w:tr>
      <w:tr w:rsidR="00BF1DBC" w:rsidRPr="00BF1DBC" w:rsidTr="009475E0">
        <w:tc>
          <w:tcPr>
            <w:tcW w:w="3192" w:type="dxa"/>
          </w:tcPr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Accident, illness or infection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Odours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Fatigue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School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Hunger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Noise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Stress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Exercise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Family problem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Menstrual flow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Lack of sleep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Hot weather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None</w:t>
            </w:r>
          </w:p>
        </w:tc>
        <w:tc>
          <w:tcPr>
            <w:tcW w:w="3192" w:type="dxa"/>
          </w:tcPr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22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5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34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2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17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4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41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2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2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8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2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49</w:t>
            </w:r>
          </w:p>
        </w:tc>
        <w:tc>
          <w:tcPr>
            <w:tcW w:w="3192" w:type="dxa"/>
          </w:tcPr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18.8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4.3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29.1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1.7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14.5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3.4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35.0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0.9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1.7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1.7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6.8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1.7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41.9</w:t>
            </w:r>
          </w:p>
        </w:tc>
      </w:tr>
      <w:tr w:rsidR="00BF1DBC" w:rsidRPr="00BF1DBC" w:rsidTr="009475E0">
        <w:tc>
          <w:tcPr>
            <w:tcW w:w="9576" w:type="dxa"/>
            <w:gridSpan w:val="3"/>
          </w:tcPr>
          <w:p w:rsidR="00BF1DBC" w:rsidRPr="00BF1DBC" w:rsidRDefault="00BF1DBC" w:rsidP="00BF1D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F1DBC">
              <w:rPr>
                <w:b/>
                <w:sz w:val="24"/>
                <w:szCs w:val="24"/>
              </w:rPr>
              <w:t>Existing chronic medical conditions that may cause headache</w:t>
            </w:r>
          </w:p>
        </w:tc>
      </w:tr>
      <w:tr w:rsidR="00BF1DBC" w:rsidRPr="00BF1DBC" w:rsidTr="009475E0">
        <w:tc>
          <w:tcPr>
            <w:tcW w:w="3192" w:type="dxa"/>
          </w:tcPr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Hypertension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Cervical spondylosis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Refractive errors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Diabetes mellitus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Sleep apnoea</w:t>
            </w:r>
          </w:p>
          <w:p w:rsidR="00BF1DBC" w:rsidRPr="00BF1DBC" w:rsidRDefault="00BF1DBC" w:rsidP="00BF1DBC">
            <w:pPr>
              <w:spacing w:after="0" w:line="240" w:lineRule="auto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None</w:t>
            </w:r>
          </w:p>
        </w:tc>
        <w:tc>
          <w:tcPr>
            <w:tcW w:w="3192" w:type="dxa"/>
          </w:tcPr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10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3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19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2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97</w:t>
            </w:r>
          </w:p>
        </w:tc>
        <w:tc>
          <w:tcPr>
            <w:tcW w:w="3192" w:type="dxa"/>
          </w:tcPr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8.5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2.6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16.2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1.7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0.9</w:t>
            </w:r>
          </w:p>
          <w:p w:rsidR="00BF1DBC" w:rsidRPr="00BF1DBC" w:rsidRDefault="00BF1DBC" w:rsidP="00BF1D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DBC">
              <w:rPr>
                <w:sz w:val="24"/>
                <w:szCs w:val="24"/>
              </w:rPr>
              <w:t>82.9</w:t>
            </w:r>
          </w:p>
        </w:tc>
      </w:tr>
    </w:tbl>
    <w:p w:rsidR="00BF1DBC" w:rsidRPr="00BF1DBC" w:rsidRDefault="00BF1DBC" w:rsidP="00BF1DBC">
      <w:pPr>
        <w:spacing w:after="0"/>
        <w:rPr>
          <w:sz w:val="24"/>
          <w:szCs w:val="24"/>
        </w:rPr>
      </w:pPr>
    </w:p>
    <w:p w:rsidR="00BF1DBC" w:rsidRPr="00BF1DBC" w:rsidRDefault="00BF1DBC" w:rsidP="00BF1DBC">
      <w:pPr>
        <w:spacing w:after="0"/>
        <w:rPr>
          <w:sz w:val="24"/>
          <w:szCs w:val="24"/>
        </w:rPr>
      </w:pPr>
      <w:r w:rsidRPr="00BF1DBC">
        <w:rPr>
          <w:sz w:val="24"/>
          <w:szCs w:val="24"/>
        </w:rPr>
        <w:t>Note that some respondents filled more than one option</w:t>
      </w:r>
    </w:p>
    <w:p w:rsidR="00BF1DBC" w:rsidRPr="00BF1DBC" w:rsidRDefault="00BF1DBC" w:rsidP="00BF1DBC">
      <w:pPr>
        <w:spacing w:after="0"/>
        <w:rPr>
          <w:sz w:val="24"/>
          <w:szCs w:val="24"/>
        </w:rPr>
      </w:pPr>
    </w:p>
    <w:p w:rsidR="00BF1DBC" w:rsidRPr="00BF1DBC" w:rsidRDefault="00BF1DBC" w:rsidP="00BF1DBC">
      <w:pPr>
        <w:spacing w:after="0"/>
        <w:rPr>
          <w:sz w:val="24"/>
          <w:szCs w:val="24"/>
        </w:rPr>
      </w:pPr>
    </w:p>
    <w:p w:rsidR="00BF1DBC" w:rsidRPr="00BF1DBC" w:rsidRDefault="00BF1DBC" w:rsidP="00BF1DBC">
      <w:pPr>
        <w:spacing w:after="0"/>
        <w:rPr>
          <w:sz w:val="24"/>
          <w:szCs w:val="24"/>
        </w:rPr>
      </w:pPr>
    </w:p>
    <w:p w:rsidR="00BF1DBC" w:rsidRPr="00BF1DBC" w:rsidRDefault="00BF1DBC" w:rsidP="00BF1DBC">
      <w:pPr>
        <w:spacing w:after="0"/>
        <w:rPr>
          <w:sz w:val="24"/>
          <w:szCs w:val="24"/>
        </w:rPr>
      </w:pPr>
    </w:p>
    <w:p w:rsidR="00BF1DBC" w:rsidRPr="00BF1DBC" w:rsidRDefault="00BF1DBC" w:rsidP="00BF1DBC">
      <w:pPr>
        <w:spacing w:after="0"/>
        <w:rPr>
          <w:sz w:val="24"/>
          <w:szCs w:val="24"/>
        </w:rPr>
      </w:pPr>
      <w:bookmarkStart w:id="0" w:name="_GoBack"/>
      <w:bookmarkEnd w:id="0"/>
    </w:p>
    <w:p w:rsidR="00BF1DBC" w:rsidRPr="00BF1DBC" w:rsidRDefault="00BF1DBC" w:rsidP="00BF1DBC">
      <w:pPr>
        <w:spacing w:after="0"/>
        <w:rPr>
          <w:sz w:val="24"/>
          <w:szCs w:val="24"/>
        </w:rPr>
      </w:pPr>
    </w:p>
    <w:p w:rsidR="00BF1DBC" w:rsidRPr="00BF1DBC" w:rsidRDefault="00BF1DBC" w:rsidP="00BF1DBC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C16F99" w:rsidRDefault="00BF1DBC"/>
    <w:sectPr w:rsidR="00C16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D6"/>
    <w:rsid w:val="001328A6"/>
    <w:rsid w:val="007C52AD"/>
    <w:rsid w:val="00933BFE"/>
    <w:rsid w:val="00A222E7"/>
    <w:rsid w:val="00A343FB"/>
    <w:rsid w:val="00BF1DBC"/>
    <w:rsid w:val="00C553D6"/>
    <w:rsid w:val="00E20CCA"/>
    <w:rsid w:val="00E36124"/>
    <w:rsid w:val="00F9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</cp:lastModifiedBy>
  <cp:revision>2</cp:revision>
  <dcterms:created xsi:type="dcterms:W3CDTF">2014-08-02T00:40:00Z</dcterms:created>
  <dcterms:modified xsi:type="dcterms:W3CDTF">2014-08-02T00:40:00Z</dcterms:modified>
</cp:coreProperties>
</file>