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DC54B" w14:textId="18B420E2" w:rsidR="00F67871" w:rsidRDefault="00F67871" w:rsidP="00F67871">
      <w:pPr>
        <w:rPr>
          <w:rFonts w:ascii="Times New Roman" w:hAnsi="Times New Roman" w:cs="Times New Roman"/>
          <w:sz w:val="24"/>
          <w:szCs w:val="24"/>
        </w:rPr>
      </w:pPr>
      <w:r w:rsidRPr="008337A6">
        <w:rPr>
          <w:rFonts w:ascii="Times New Roman" w:hAnsi="Times New Roman" w:cs="Times New Roman"/>
          <w:sz w:val="24"/>
          <w:szCs w:val="24"/>
        </w:rPr>
        <w:t xml:space="preserve">Figure 1: </w:t>
      </w:r>
      <w:r w:rsidR="009124C1" w:rsidRPr="009124C1">
        <w:rPr>
          <w:rFonts w:ascii="Times New Roman" w:hAnsi="Times New Roman" w:cs="Times New Roman"/>
          <w:sz w:val="24"/>
          <w:szCs w:val="24"/>
        </w:rPr>
        <w:t>Self-reported</w:t>
      </w:r>
      <w:bookmarkStart w:id="0" w:name="_GoBack"/>
      <w:bookmarkEnd w:id="0"/>
      <w:r w:rsidR="009124C1" w:rsidRPr="009124C1">
        <w:rPr>
          <w:rFonts w:ascii="Times New Roman" w:hAnsi="Times New Roman" w:cs="Times New Roman"/>
          <w:sz w:val="24"/>
          <w:szCs w:val="24"/>
        </w:rPr>
        <w:t xml:space="preserve"> changes in drinking behavior during happy hour</w:t>
      </w:r>
      <w:r w:rsidR="009124C1">
        <w:rPr>
          <w:rFonts w:ascii="Times New Roman" w:hAnsi="Times New Roman" w:cs="Times New Roman"/>
          <w:sz w:val="24"/>
          <w:szCs w:val="24"/>
        </w:rPr>
        <w:t>.</w:t>
      </w:r>
    </w:p>
    <w:p w14:paraId="7ED6B977" w14:textId="77777777" w:rsidR="00F67871" w:rsidRPr="00671041" w:rsidRDefault="00F67871" w:rsidP="00F6787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E9607AA" wp14:editId="70380C9B">
            <wp:extent cx="5943600" cy="6651625"/>
            <wp:effectExtent l="0" t="0" r="19050" b="1587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F67871" w:rsidRPr="00671041" w:rsidSect="005B0794"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715CAF" w14:textId="77777777" w:rsidR="002B3FB5" w:rsidRDefault="002B3FB5" w:rsidP="00DF6911">
      <w:pPr>
        <w:spacing w:after="0" w:line="240" w:lineRule="auto"/>
      </w:pPr>
      <w:r>
        <w:separator/>
      </w:r>
    </w:p>
  </w:endnote>
  <w:endnote w:type="continuationSeparator" w:id="0">
    <w:p w14:paraId="59501FB7" w14:textId="77777777" w:rsidR="002B3FB5" w:rsidRDefault="002B3FB5" w:rsidP="00DF6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492125" w14:textId="77777777" w:rsidR="002B3FB5" w:rsidRDefault="002B3FB5" w:rsidP="00DF6911">
      <w:pPr>
        <w:spacing w:after="0" w:line="240" w:lineRule="auto"/>
      </w:pPr>
      <w:r>
        <w:separator/>
      </w:r>
    </w:p>
  </w:footnote>
  <w:footnote w:type="continuationSeparator" w:id="0">
    <w:p w14:paraId="69533AF1" w14:textId="77777777" w:rsidR="002B3FB5" w:rsidRDefault="002B3FB5" w:rsidP="00DF6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7091E" w14:textId="47AD2003" w:rsidR="002B3FB5" w:rsidRPr="006717F1" w:rsidRDefault="002B3FB5">
    <w:pPr>
      <w:pStyle w:val="Header"/>
      <w:rPr>
        <w:rFonts w:ascii="Times New Roman" w:hAnsi="Times New Roman"/>
      </w:rPr>
    </w:pPr>
    <w:r w:rsidRPr="006717F1">
      <w:rPr>
        <w:rFonts w:ascii="Times New Roman" w:hAnsi="Times New Roman"/>
      </w:rPr>
      <w:t>Effects of happy hour drinking on negative consequences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A3B9D"/>
    <w:multiLevelType w:val="hybridMultilevel"/>
    <w:tmpl w:val="49F00680"/>
    <w:lvl w:ilvl="0" w:tplc="18F4BC1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323BA6"/>
    <w:multiLevelType w:val="hybridMultilevel"/>
    <w:tmpl w:val="2BE8D4F4"/>
    <w:lvl w:ilvl="0" w:tplc="18F4BC1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8322FB"/>
    <w:multiLevelType w:val="hybridMultilevel"/>
    <w:tmpl w:val="7946DEB4"/>
    <w:lvl w:ilvl="0" w:tplc="18F4BC1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92"/>
    <w:rsid w:val="000030B5"/>
    <w:rsid w:val="00013050"/>
    <w:rsid w:val="0001316E"/>
    <w:rsid w:val="00026299"/>
    <w:rsid w:val="00027B02"/>
    <w:rsid w:val="00035866"/>
    <w:rsid w:val="0007625B"/>
    <w:rsid w:val="00084139"/>
    <w:rsid w:val="000917B4"/>
    <w:rsid w:val="000921D1"/>
    <w:rsid w:val="000A6F1E"/>
    <w:rsid w:val="000B07B2"/>
    <w:rsid w:val="000B1623"/>
    <w:rsid w:val="000C0383"/>
    <w:rsid w:val="000C5CDD"/>
    <w:rsid w:val="000D2194"/>
    <w:rsid w:val="000D60CC"/>
    <w:rsid w:val="000D62CF"/>
    <w:rsid w:val="000E18B9"/>
    <w:rsid w:val="000F2345"/>
    <w:rsid w:val="000F766B"/>
    <w:rsid w:val="000F793C"/>
    <w:rsid w:val="001016C4"/>
    <w:rsid w:val="001020B0"/>
    <w:rsid w:val="00137B84"/>
    <w:rsid w:val="001505D5"/>
    <w:rsid w:val="001512D0"/>
    <w:rsid w:val="00164EFA"/>
    <w:rsid w:val="00166B30"/>
    <w:rsid w:val="001677FF"/>
    <w:rsid w:val="00177651"/>
    <w:rsid w:val="001804DE"/>
    <w:rsid w:val="0018126A"/>
    <w:rsid w:val="001C2A66"/>
    <w:rsid w:val="001C4CE9"/>
    <w:rsid w:val="001E0689"/>
    <w:rsid w:val="001F3230"/>
    <w:rsid w:val="00200573"/>
    <w:rsid w:val="002059B1"/>
    <w:rsid w:val="00212186"/>
    <w:rsid w:val="002137F1"/>
    <w:rsid w:val="00217291"/>
    <w:rsid w:val="002252BD"/>
    <w:rsid w:val="002276F4"/>
    <w:rsid w:val="00233780"/>
    <w:rsid w:val="00245B69"/>
    <w:rsid w:val="00252E1B"/>
    <w:rsid w:val="0029175D"/>
    <w:rsid w:val="002A03CC"/>
    <w:rsid w:val="002A601C"/>
    <w:rsid w:val="002B3FB5"/>
    <w:rsid w:val="002B6A89"/>
    <w:rsid w:val="002C029B"/>
    <w:rsid w:val="002C618B"/>
    <w:rsid w:val="002D5042"/>
    <w:rsid w:val="002E1022"/>
    <w:rsid w:val="002E605C"/>
    <w:rsid w:val="002F3905"/>
    <w:rsid w:val="002F7B8E"/>
    <w:rsid w:val="00306290"/>
    <w:rsid w:val="003076EC"/>
    <w:rsid w:val="00307ECE"/>
    <w:rsid w:val="003133F8"/>
    <w:rsid w:val="00321592"/>
    <w:rsid w:val="00330798"/>
    <w:rsid w:val="0033092B"/>
    <w:rsid w:val="00335B8A"/>
    <w:rsid w:val="00341173"/>
    <w:rsid w:val="003420A9"/>
    <w:rsid w:val="00350B41"/>
    <w:rsid w:val="00356BE4"/>
    <w:rsid w:val="0036350B"/>
    <w:rsid w:val="00373FC4"/>
    <w:rsid w:val="00377FB7"/>
    <w:rsid w:val="00397614"/>
    <w:rsid w:val="003A05B1"/>
    <w:rsid w:val="003B012D"/>
    <w:rsid w:val="003E0AB1"/>
    <w:rsid w:val="003E17AC"/>
    <w:rsid w:val="003E18BB"/>
    <w:rsid w:val="003F2615"/>
    <w:rsid w:val="003F598E"/>
    <w:rsid w:val="003F5BC9"/>
    <w:rsid w:val="004002DB"/>
    <w:rsid w:val="00401557"/>
    <w:rsid w:val="00420CA8"/>
    <w:rsid w:val="004216BF"/>
    <w:rsid w:val="00421E3A"/>
    <w:rsid w:val="004331BF"/>
    <w:rsid w:val="004409EF"/>
    <w:rsid w:val="0044530E"/>
    <w:rsid w:val="00455CC9"/>
    <w:rsid w:val="004625C8"/>
    <w:rsid w:val="004675C1"/>
    <w:rsid w:val="00477131"/>
    <w:rsid w:val="0047726B"/>
    <w:rsid w:val="00481761"/>
    <w:rsid w:val="0048608C"/>
    <w:rsid w:val="00493C01"/>
    <w:rsid w:val="00495B8E"/>
    <w:rsid w:val="004A2FD4"/>
    <w:rsid w:val="004B0F48"/>
    <w:rsid w:val="004B374C"/>
    <w:rsid w:val="004C0D90"/>
    <w:rsid w:val="004C469B"/>
    <w:rsid w:val="004F0EAB"/>
    <w:rsid w:val="005036B3"/>
    <w:rsid w:val="00506890"/>
    <w:rsid w:val="00515B7C"/>
    <w:rsid w:val="005408F6"/>
    <w:rsid w:val="00552218"/>
    <w:rsid w:val="00555F64"/>
    <w:rsid w:val="00561044"/>
    <w:rsid w:val="00562305"/>
    <w:rsid w:val="00574BCB"/>
    <w:rsid w:val="00586799"/>
    <w:rsid w:val="005A35BA"/>
    <w:rsid w:val="005A45CC"/>
    <w:rsid w:val="005B0794"/>
    <w:rsid w:val="005B1F33"/>
    <w:rsid w:val="005B437E"/>
    <w:rsid w:val="005C7E75"/>
    <w:rsid w:val="005D6747"/>
    <w:rsid w:val="005D6FD9"/>
    <w:rsid w:val="005D70DA"/>
    <w:rsid w:val="005E6508"/>
    <w:rsid w:val="005F4231"/>
    <w:rsid w:val="00607674"/>
    <w:rsid w:val="00615CDF"/>
    <w:rsid w:val="006252F5"/>
    <w:rsid w:val="00625597"/>
    <w:rsid w:val="006306EF"/>
    <w:rsid w:val="006372A6"/>
    <w:rsid w:val="00655695"/>
    <w:rsid w:val="00665F8E"/>
    <w:rsid w:val="00671041"/>
    <w:rsid w:val="006717F1"/>
    <w:rsid w:val="00673C9F"/>
    <w:rsid w:val="00673EAB"/>
    <w:rsid w:val="00680553"/>
    <w:rsid w:val="006824E1"/>
    <w:rsid w:val="00683B68"/>
    <w:rsid w:val="00684E17"/>
    <w:rsid w:val="006865E0"/>
    <w:rsid w:val="006876CC"/>
    <w:rsid w:val="0069445C"/>
    <w:rsid w:val="006A2E65"/>
    <w:rsid w:val="006A3CB5"/>
    <w:rsid w:val="006A6393"/>
    <w:rsid w:val="006B1300"/>
    <w:rsid w:val="006C37D7"/>
    <w:rsid w:val="006C6383"/>
    <w:rsid w:val="006D0C8A"/>
    <w:rsid w:val="006D570F"/>
    <w:rsid w:val="006E1E8C"/>
    <w:rsid w:val="006E5337"/>
    <w:rsid w:val="007028F7"/>
    <w:rsid w:val="007113D9"/>
    <w:rsid w:val="00712980"/>
    <w:rsid w:val="00714822"/>
    <w:rsid w:val="00727D8F"/>
    <w:rsid w:val="00730AA0"/>
    <w:rsid w:val="00733203"/>
    <w:rsid w:val="0074738A"/>
    <w:rsid w:val="00761DA2"/>
    <w:rsid w:val="007639F1"/>
    <w:rsid w:val="007748DD"/>
    <w:rsid w:val="00777492"/>
    <w:rsid w:val="00780D09"/>
    <w:rsid w:val="007C5139"/>
    <w:rsid w:val="007C6466"/>
    <w:rsid w:val="007F6987"/>
    <w:rsid w:val="008015C3"/>
    <w:rsid w:val="00805A85"/>
    <w:rsid w:val="008115ED"/>
    <w:rsid w:val="00812E06"/>
    <w:rsid w:val="00821967"/>
    <w:rsid w:val="00832285"/>
    <w:rsid w:val="0083370D"/>
    <w:rsid w:val="00876ABD"/>
    <w:rsid w:val="008858F4"/>
    <w:rsid w:val="00887053"/>
    <w:rsid w:val="00887911"/>
    <w:rsid w:val="008B0809"/>
    <w:rsid w:val="008B6695"/>
    <w:rsid w:val="008C2F12"/>
    <w:rsid w:val="008D70EC"/>
    <w:rsid w:val="008E2D9B"/>
    <w:rsid w:val="008E4153"/>
    <w:rsid w:val="008E4E23"/>
    <w:rsid w:val="008E6E3F"/>
    <w:rsid w:val="008F4325"/>
    <w:rsid w:val="008F4CA9"/>
    <w:rsid w:val="00907CF1"/>
    <w:rsid w:val="009124C1"/>
    <w:rsid w:val="0091613F"/>
    <w:rsid w:val="00922D39"/>
    <w:rsid w:val="009412B0"/>
    <w:rsid w:val="00943509"/>
    <w:rsid w:val="009556B9"/>
    <w:rsid w:val="00973B2E"/>
    <w:rsid w:val="00983374"/>
    <w:rsid w:val="00984CD4"/>
    <w:rsid w:val="009947EF"/>
    <w:rsid w:val="009C43B8"/>
    <w:rsid w:val="009C6063"/>
    <w:rsid w:val="009C6191"/>
    <w:rsid w:val="00A01C83"/>
    <w:rsid w:val="00A1580B"/>
    <w:rsid w:val="00A25C97"/>
    <w:rsid w:val="00A26D5F"/>
    <w:rsid w:val="00A34EE4"/>
    <w:rsid w:val="00A45970"/>
    <w:rsid w:val="00A46186"/>
    <w:rsid w:val="00A64BAE"/>
    <w:rsid w:val="00A8626F"/>
    <w:rsid w:val="00A95067"/>
    <w:rsid w:val="00AA15F0"/>
    <w:rsid w:val="00AA1AFD"/>
    <w:rsid w:val="00AA3ACF"/>
    <w:rsid w:val="00AA439D"/>
    <w:rsid w:val="00AB431B"/>
    <w:rsid w:val="00AC01D7"/>
    <w:rsid w:val="00AE6D3D"/>
    <w:rsid w:val="00AF0B87"/>
    <w:rsid w:val="00AF6964"/>
    <w:rsid w:val="00B015E0"/>
    <w:rsid w:val="00B0188B"/>
    <w:rsid w:val="00B11017"/>
    <w:rsid w:val="00B13892"/>
    <w:rsid w:val="00B1536E"/>
    <w:rsid w:val="00B27B74"/>
    <w:rsid w:val="00B35F7F"/>
    <w:rsid w:val="00B436A9"/>
    <w:rsid w:val="00B47D4F"/>
    <w:rsid w:val="00B50A6B"/>
    <w:rsid w:val="00B5650D"/>
    <w:rsid w:val="00B60EE6"/>
    <w:rsid w:val="00B64E7A"/>
    <w:rsid w:val="00B65D4F"/>
    <w:rsid w:val="00B706A9"/>
    <w:rsid w:val="00B74E4B"/>
    <w:rsid w:val="00B75202"/>
    <w:rsid w:val="00B75ED5"/>
    <w:rsid w:val="00B9069C"/>
    <w:rsid w:val="00BB160A"/>
    <w:rsid w:val="00BB3A5A"/>
    <w:rsid w:val="00BF355A"/>
    <w:rsid w:val="00BF7B24"/>
    <w:rsid w:val="00BF7D14"/>
    <w:rsid w:val="00C00DE9"/>
    <w:rsid w:val="00C04B8F"/>
    <w:rsid w:val="00C050D2"/>
    <w:rsid w:val="00C10242"/>
    <w:rsid w:val="00C50294"/>
    <w:rsid w:val="00C56DC9"/>
    <w:rsid w:val="00C63F5C"/>
    <w:rsid w:val="00C72752"/>
    <w:rsid w:val="00C75050"/>
    <w:rsid w:val="00C84CC9"/>
    <w:rsid w:val="00CB659C"/>
    <w:rsid w:val="00CC3976"/>
    <w:rsid w:val="00CE389B"/>
    <w:rsid w:val="00CF57D7"/>
    <w:rsid w:val="00D022E6"/>
    <w:rsid w:val="00D068D6"/>
    <w:rsid w:val="00D1269E"/>
    <w:rsid w:val="00D30338"/>
    <w:rsid w:val="00D33CA6"/>
    <w:rsid w:val="00D33F90"/>
    <w:rsid w:val="00D44222"/>
    <w:rsid w:val="00D57F36"/>
    <w:rsid w:val="00D70425"/>
    <w:rsid w:val="00D81BD0"/>
    <w:rsid w:val="00D92695"/>
    <w:rsid w:val="00DB3672"/>
    <w:rsid w:val="00DC0161"/>
    <w:rsid w:val="00DC53B6"/>
    <w:rsid w:val="00DD635E"/>
    <w:rsid w:val="00DE2E2F"/>
    <w:rsid w:val="00DF65BA"/>
    <w:rsid w:val="00DF6911"/>
    <w:rsid w:val="00DF6B50"/>
    <w:rsid w:val="00E0692A"/>
    <w:rsid w:val="00E16AF6"/>
    <w:rsid w:val="00E351AC"/>
    <w:rsid w:val="00E46DED"/>
    <w:rsid w:val="00E57D33"/>
    <w:rsid w:val="00E6028B"/>
    <w:rsid w:val="00E64552"/>
    <w:rsid w:val="00E6469A"/>
    <w:rsid w:val="00E67FE4"/>
    <w:rsid w:val="00E708B5"/>
    <w:rsid w:val="00E72DA7"/>
    <w:rsid w:val="00E7330E"/>
    <w:rsid w:val="00E73F7A"/>
    <w:rsid w:val="00E7541D"/>
    <w:rsid w:val="00E760ED"/>
    <w:rsid w:val="00E85C9C"/>
    <w:rsid w:val="00EA0156"/>
    <w:rsid w:val="00EA1F9D"/>
    <w:rsid w:val="00EB693A"/>
    <w:rsid w:val="00EE0E0F"/>
    <w:rsid w:val="00EE4C1C"/>
    <w:rsid w:val="00F011CA"/>
    <w:rsid w:val="00F024BF"/>
    <w:rsid w:val="00F032EA"/>
    <w:rsid w:val="00F05BAE"/>
    <w:rsid w:val="00F133CB"/>
    <w:rsid w:val="00F170B5"/>
    <w:rsid w:val="00F23F19"/>
    <w:rsid w:val="00F25C9F"/>
    <w:rsid w:val="00F273F1"/>
    <w:rsid w:val="00F313B7"/>
    <w:rsid w:val="00F36B71"/>
    <w:rsid w:val="00F37EBD"/>
    <w:rsid w:val="00F400FB"/>
    <w:rsid w:val="00F47E51"/>
    <w:rsid w:val="00F5124A"/>
    <w:rsid w:val="00F62C47"/>
    <w:rsid w:val="00F67871"/>
    <w:rsid w:val="00F82027"/>
    <w:rsid w:val="00F90C56"/>
    <w:rsid w:val="00FB0FED"/>
    <w:rsid w:val="00FB4E8F"/>
    <w:rsid w:val="00FC2A5D"/>
    <w:rsid w:val="00FC733F"/>
    <w:rsid w:val="00FE57FE"/>
    <w:rsid w:val="00FF2966"/>
    <w:rsid w:val="00FF2E01"/>
    <w:rsid w:val="00FF38BA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0FBF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footnote reference" w:uiPriority="99"/>
  </w:latentStyles>
  <w:style w:type="paragraph" w:default="1" w:styleId="Normal">
    <w:name w:val="Normal"/>
    <w:qFormat/>
    <w:rsid w:val="005B07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F67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E47818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F67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67871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69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69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6911"/>
    <w:rPr>
      <w:vertAlign w:val="superscript"/>
    </w:rPr>
  </w:style>
  <w:style w:type="paragraph" w:styleId="ListParagraph">
    <w:name w:val="List Paragraph"/>
    <w:basedOn w:val="Normal"/>
    <w:rsid w:val="00CC3976"/>
    <w:pPr>
      <w:ind w:left="720"/>
      <w:contextualSpacing/>
    </w:pPr>
  </w:style>
  <w:style w:type="character" w:styleId="CommentReference">
    <w:name w:val="annotation reference"/>
    <w:basedOn w:val="DefaultParagraphFont"/>
    <w:rsid w:val="00421E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421E3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421E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421E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421E3A"/>
    <w:rPr>
      <w:b/>
      <w:bCs/>
      <w:sz w:val="20"/>
      <w:szCs w:val="20"/>
    </w:rPr>
  </w:style>
  <w:style w:type="character" w:styleId="Hyperlink">
    <w:name w:val="Hyperlink"/>
    <w:basedOn w:val="DefaultParagraphFont"/>
    <w:rsid w:val="003420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0917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917B4"/>
  </w:style>
  <w:style w:type="paragraph" w:styleId="Footer">
    <w:name w:val="footer"/>
    <w:basedOn w:val="Normal"/>
    <w:link w:val="FooterChar"/>
    <w:rsid w:val="000917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91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footnote reference" w:uiPriority="99"/>
  </w:latentStyles>
  <w:style w:type="paragraph" w:default="1" w:styleId="Normal">
    <w:name w:val="Normal"/>
    <w:qFormat/>
    <w:rsid w:val="005B07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F67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E47818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F67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67871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69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69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6911"/>
    <w:rPr>
      <w:vertAlign w:val="superscript"/>
    </w:rPr>
  </w:style>
  <w:style w:type="paragraph" w:styleId="ListParagraph">
    <w:name w:val="List Paragraph"/>
    <w:basedOn w:val="Normal"/>
    <w:rsid w:val="00CC3976"/>
    <w:pPr>
      <w:ind w:left="720"/>
      <w:contextualSpacing/>
    </w:pPr>
  </w:style>
  <w:style w:type="character" w:styleId="CommentReference">
    <w:name w:val="annotation reference"/>
    <w:basedOn w:val="DefaultParagraphFont"/>
    <w:rsid w:val="00421E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421E3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421E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421E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421E3A"/>
    <w:rPr>
      <w:b/>
      <w:bCs/>
      <w:sz w:val="20"/>
      <w:szCs w:val="20"/>
    </w:rPr>
  </w:style>
  <w:style w:type="character" w:styleId="Hyperlink">
    <w:name w:val="Hyperlink"/>
    <w:basedOn w:val="DefaultParagraphFont"/>
    <w:rsid w:val="003420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0917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917B4"/>
  </w:style>
  <w:style w:type="paragraph" w:styleId="Footer">
    <w:name w:val="footer"/>
    <w:basedOn w:val="Normal"/>
    <w:link w:val="FooterChar"/>
    <w:rsid w:val="000917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91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4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2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65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7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Sheet3!$C$1</c:f>
              <c:strCache>
                <c:ptCount val="1"/>
                <c:pt idx="0">
                  <c:v>I drink more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Sheet3!$B$2:$B$32</c:f>
              <c:strCache>
                <c:ptCount val="31"/>
                <c:pt idx="0">
                  <c:v>Home Owner</c:v>
                </c:pt>
                <c:pt idx="1">
                  <c:v>Rented apartment</c:v>
                </c:pt>
                <c:pt idx="2">
                  <c:v>Greek Housing</c:v>
                </c:pt>
                <c:pt idx="3">
                  <c:v>Campus Dormitories</c:v>
                </c:pt>
                <c:pt idx="4">
                  <c:v>With parents/ family</c:v>
                </c:pt>
                <c:pt idx="5">
                  <c:v>Living Arrangements:</c:v>
                </c:pt>
                <c:pt idx="7">
                  <c:v>Over $100,000</c:v>
                </c:pt>
                <c:pt idx="8">
                  <c:v>$75,000 – $99,999</c:v>
                </c:pt>
                <c:pt idx="9">
                  <c:v>$50,000 – $74,999</c:v>
                </c:pt>
                <c:pt idx="10">
                  <c:v>$25,000 – $49,999</c:v>
                </c:pt>
                <c:pt idx="11">
                  <c:v>Under $24,999</c:v>
                </c:pt>
                <c:pt idx="12">
                  <c:v>Family Income:</c:v>
                </c:pt>
                <c:pt idx="14">
                  <c:v>Non Greek</c:v>
                </c:pt>
                <c:pt idx="15">
                  <c:v>Greek</c:v>
                </c:pt>
                <c:pt idx="16">
                  <c:v>Greek Membership:</c:v>
                </c:pt>
                <c:pt idx="18">
                  <c:v>Non Athlete</c:v>
                </c:pt>
                <c:pt idx="19">
                  <c:v>Student Athlete</c:v>
                </c:pt>
                <c:pt idx="20">
                  <c:v>Athletic Participation:</c:v>
                </c:pt>
                <c:pt idx="22">
                  <c:v>26 and over</c:v>
                </c:pt>
                <c:pt idx="23">
                  <c:v>23-25</c:v>
                </c:pt>
                <c:pt idx="24">
                  <c:v>21-22</c:v>
                </c:pt>
                <c:pt idx="25">
                  <c:v>17-20</c:v>
                </c:pt>
                <c:pt idx="26">
                  <c:v>Age:</c:v>
                </c:pt>
                <c:pt idx="28">
                  <c:v>Male</c:v>
                </c:pt>
                <c:pt idx="29">
                  <c:v>Female</c:v>
                </c:pt>
                <c:pt idx="30">
                  <c:v>Gender:</c:v>
                </c:pt>
              </c:strCache>
            </c:strRef>
          </c:cat>
          <c:val>
            <c:numRef>
              <c:f>Sheet3!$C$2:$C$32</c:f>
              <c:numCache>
                <c:formatCode>0.0%</c:formatCode>
                <c:ptCount val="31"/>
                <c:pt idx="0">
                  <c:v>0.192</c:v>
                </c:pt>
                <c:pt idx="1">
                  <c:v>0.30399999999999999</c:v>
                </c:pt>
                <c:pt idx="2">
                  <c:v>0.24</c:v>
                </c:pt>
                <c:pt idx="3">
                  <c:v>0.39500000000000002</c:v>
                </c:pt>
                <c:pt idx="4">
                  <c:v>0.28599999999999998</c:v>
                </c:pt>
                <c:pt idx="7">
                  <c:v>0.33600000000000002</c:v>
                </c:pt>
                <c:pt idx="8">
                  <c:v>0.35199999999999998</c:v>
                </c:pt>
                <c:pt idx="9">
                  <c:v>0.32200000000000001</c:v>
                </c:pt>
                <c:pt idx="10">
                  <c:v>0.27100000000000002</c:v>
                </c:pt>
                <c:pt idx="11">
                  <c:v>0.314</c:v>
                </c:pt>
                <c:pt idx="14">
                  <c:v>0.33</c:v>
                </c:pt>
                <c:pt idx="15">
                  <c:v>0.308</c:v>
                </c:pt>
                <c:pt idx="18">
                  <c:v>0.33100000000000002</c:v>
                </c:pt>
                <c:pt idx="19">
                  <c:v>0.23100000000000001</c:v>
                </c:pt>
                <c:pt idx="22">
                  <c:v>0.151</c:v>
                </c:pt>
                <c:pt idx="23">
                  <c:v>0.153</c:v>
                </c:pt>
                <c:pt idx="24">
                  <c:v>0.28499999999999998</c:v>
                </c:pt>
                <c:pt idx="25">
                  <c:v>0.377</c:v>
                </c:pt>
                <c:pt idx="28">
                  <c:v>0.29499999999999998</c:v>
                </c:pt>
                <c:pt idx="29">
                  <c:v>0.35799999999999998</c:v>
                </c:pt>
              </c:numCache>
            </c:numRef>
          </c:val>
        </c:ser>
        <c:ser>
          <c:idx val="1"/>
          <c:order val="1"/>
          <c:tx>
            <c:strRef>
              <c:f>Sheet3!$D$1</c:f>
              <c:strCache>
                <c:ptCount val="1"/>
                <c:pt idx="0">
                  <c:v>I drink more quickly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Sheet3!$B$2:$B$32</c:f>
              <c:strCache>
                <c:ptCount val="31"/>
                <c:pt idx="0">
                  <c:v>Home Owner</c:v>
                </c:pt>
                <c:pt idx="1">
                  <c:v>Rented apartment</c:v>
                </c:pt>
                <c:pt idx="2">
                  <c:v>Greek Housing</c:v>
                </c:pt>
                <c:pt idx="3">
                  <c:v>Campus Dormitories</c:v>
                </c:pt>
                <c:pt idx="4">
                  <c:v>With parents/ family</c:v>
                </c:pt>
                <c:pt idx="5">
                  <c:v>Living Arrangements:</c:v>
                </c:pt>
                <c:pt idx="7">
                  <c:v>Over $100,000</c:v>
                </c:pt>
                <c:pt idx="8">
                  <c:v>$75,000 – $99,999</c:v>
                </c:pt>
                <c:pt idx="9">
                  <c:v>$50,000 – $74,999</c:v>
                </c:pt>
                <c:pt idx="10">
                  <c:v>$25,000 – $49,999</c:v>
                </c:pt>
                <c:pt idx="11">
                  <c:v>Under $24,999</c:v>
                </c:pt>
                <c:pt idx="12">
                  <c:v>Family Income:</c:v>
                </c:pt>
                <c:pt idx="14">
                  <c:v>Non Greek</c:v>
                </c:pt>
                <c:pt idx="15">
                  <c:v>Greek</c:v>
                </c:pt>
                <c:pt idx="16">
                  <c:v>Greek Membership:</c:v>
                </c:pt>
                <c:pt idx="18">
                  <c:v>Non Athlete</c:v>
                </c:pt>
                <c:pt idx="19">
                  <c:v>Student Athlete</c:v>
                </c:pt>
                <c:pt idx="20">
                  <c:v>Athletic Participation:</c:v>
                </c:pt>
                <c:pt idx="22">
                  <c:v>26 and over</c:v>
                </c:pt>
                <c:pt idx="23">
                  <c:v>23-25</c:v>
                </c:pt>
                <c:pt idx="24">
                  <c:v>21-22</c:v>
                </c:pt>
                <c:pt idx="25">
                  <c:v>17-20</c:v>
                </c:pt>
                <c:pt idx="26">
                  <c:v>Age:</c:v>
                </c:pt>
                <c:pt idx="28">
                  <c:v>Male</c:v>
                </c:pt>
                <c:pt idx="29">
                  <c:v>Female</c:v>
                </c:pt>
                <c:pt idx="30">
                  <c:v>Gender:</c:v>
                </c:pt>
              </c:strCache>
            </c:strRef>
          </c:cat>
          <c:val>
            <c:numRef>
              <c:f>Sheet3!$D$2:$D$32</c:f>
              <c:numCache>
                <c:formatCode>0.0%</c:formatCode>
                <c:ptCount val="31"/>
                <c:pt idx="0">
                  <c:v>3.7999999999999999E-2</c:v>
                </c:pt>
                <c:pt idx="1">
                  <c:v>0.08</c:v>
                </c:pt>
                <c:pt idx="2">
                  <c:v>0.16</c:v>
                </c:pt>
                <c:pt idx="3">
                  <c:v>0.104</c:v>
                </c:pt>
                <c:pt idx="4">
                  <c:v>3.9E-2</c:v>
                </c:pt>
                <c:pt idx="7">
                  <c:v>8.6999999999999994E-2</c:v>
                </c:pt>
                <c:pt idx="8">
                  <c:v>0.111</c:v>
                </c:pt>
                <c:pt idx="9">
                  <c:v>8.6999999999999994E-2</c:v>
                </c:pt>
                <c:pt idx="10">
                  <c:v>4.4999999999999998E-2</c:v>
                </c:pt>
                <c:pt idx="11">
                  <c:v>5.8000000000000003E-2</c:v>
                </c:pt>
                <c:pt idx="14">
                  <c:v>8.2000000000000003E-2</c:v>
                </c:pt>
                <c:pt idx="15">
                  <c:v>9.9000000000000005E-2</c:v>
                </c:pt>
                <c:pt idx="18">
                  <c:v>8.6999999999999994E-2</c:v>
                </c:pt>
                <c:pt idx="19">
                  <c:v>4.9000000000000002E-2</c:v>
                </c:pt>
                <c:pt idx="22">
                  <c:v>7.4999999999999997E-2</c:v>
                </c:pt>
                <c:pt idx="23">
                  <c:v>8.2000000000000003E-2</c:v>
                </c:pt>
                <c:pt idx="24">
                  <c:v>5.5E-2</c:v>
                </c:pt>
                <c:pt idx="25">
                  <c:v>0.10199999999999999</c:v>
                </c:pt>
                <c:pt idx="28">
                  <c:v>7.6999999999999999E-2</c:v>
                </c:pt>
                <c:pt idx="29">
                  <c:v>9.2999999999999999E-2</c:v>
                </c:pt>
              </c:numCache>
            </c:numRef>
          </c:val>
        </c:ser>
        <c:ser>
          <c:idx val="2"/>
          <c:order val="2"/>
          <c:tx>
            <c:strRef>
              <c:f>Sheet3!$E$1</c:f>
              <c:strCache>
                <c:ptCount val="1"/>
                <c:pt idx="0">
                  <c:v>I drink more and more quickly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Sheet3!$B$2:$B$32</c:f>
              <c:strCache>
                <c:ptCount val="31"/>
                <c:pt idx="0">
                  <c:v>Home Owner</c:v>
                </c:pt>
                <c:pt idx="1">
                  <c:v>Rented apartment</c:v>
                </c:pt>
                <c:pt idx="2">
                  <c:v>Greek Housing</c:v>
                </c:pt>
                <c:pt idx="3">
                  <c:v>Campus Dormitories</c:v>
                </c:pt>
                <c:pt idx="4">
                  <c:v>With parents/ family</c:v>
                </c:pt>
                <c:pt idx="5">
                  <c:v>Living Arrangements:</c:v>
                </c:pt>
                <c:pt idx="7">
                  <c:v>Over $100,000</c:v>
                </c:pt>
                <c:pt idx="8">
                  <c:v>$75,000 – $99,999</c:v>
                </c:pt>
                <c:pt idx="9">
                  <c:v>$50,000 – $74,999</c:v>
                </c:pt>
                <c:pt idx="10">
                  <c:v>$25,000 – $49,999</c:v>
                </c:pt>
                <c:pt idx="11">
                  <c:v>Under $24,999</c:v>
                </c:pt>
                <c:pt idx="12">
                  <c:v>Family Income:</c:v>
                </c:pt>
                <c:pt idx="14">
                  <c:v>Non Greek</c:v>
                </c:pt>
                <c:pt idx="15">
                  <c:v>Greek</c:v>
                </c:pt>
                <c:pt idx="16">
                  <c:v>Greek Membership:</c:v>
                </c:pt>
                <c:pt idx="18">
                  <c:v>Non Athlete</c:v>
                </c:pt>
                <c:pt idx="19">
                  <c:v>Student Athlete</c:v>
                </c:pt>
                <c:pt idx="20">
                  <c:v>Athletic Participation:</c:v>
                </c:pt>
                <c:pt idx="22">
                  <c:v>26 and over</c:v>
                </c:pt>
                <c:pt idx="23">
                  <c:v>23-25</c:v>
                </c:pt>
                <c:pt idx="24">
                  <c:v>21-22</c:v>
                </c:pt>
                <c:pt idx="25">
                  <c:v>17-20</c:v>
                </c:pt>
                <c:pt idx="26">
                  <c:v>Age:</c:v>
                </c:pt>
                <c:pt idx="28">
                  <c:v>Male</c:v>
                </c:pt>
                <c:pt idx="29">
                  <c:v>Female</c:v>
                </c:pt>
                <c:pt idx="30">
                  <c:v>Gender:</c:v>
                </c:pt>
              </c:strCache>
            </c:strRef>
          </c:cat>
          <c:val>
            <c:numRef>
              <c:f>Sheet3!$E$2:$E$32</c:f>
              <c:numCache>
                <c:formatCode>0.0%</c:formatCode>
                <c:ptCount val="31"/>
                <c:pt idx="0">
                  <c:v>7.6999999999999999E-2</c:v>
                </c:pt>
                <c:pt idx="1">
                  <c:v>0.20699999999999999</c:v>
                </c:pt>
                <c:pt idx="2">
                  <c:v>0.28000000000000003</c:v>
                </c:pt>
                <c:pt idx="3">
                  <c:v>0.28899999999999998</c:v>
                </c:pt>
                <c:pt idx="4">
                  <c:v>0.23400000000000001</c:v>
                </c:pt>
                <c:pt idx="7">
                  <c:v>0.23300000000000001</c:v>
                </c:pt>
                <c:pt idx="8">
                  <c:v>0.222</c:v>
                </c:pt>
                <c:pt idx="9">
                  <c:v>0.248</c:v>
                </c:pt>
                <c:pt idx="10">
                  <c:v>0.21299999999999999</c:v>
                </c:pt>
                <c:pt idx="11">
                  <c:v>0.221</c:v>
                </c:pt>
                <c:pt idx="14">
                  <c:v>0.215</c:v>
                </c:pt>
                <c:pt idx="15">
                  <c:v>0.28399999999999997</c:v>
                </c:pt>
                <c:pt idx="18">
                  <c:v>0.23</c:v>
                </c:pt>
                <c:pt idx="19">
                  <c:v>0.23</c:v>
                </c:pt>
                <c:pt idx="22">
                  <c:v>0.17</c:v>
                </c:pt>
                <c:pt idx="23">
                  <c:v>0.16500000000000001</c:v>
                </c:pt>
                <c:pt idx="24">
                  <c:v>0.13100000000000001</c:v>
                </c:pt>
                <c:pt idx="25">
                  <c:v>0.29499999999999998</c:v>
                </c:pt>
                <c:pt idx="28">
                  <c:v>0.22700000000000001</c:v>
                </c:pt>
                <c:pt idx="29">
                  <c:v>0.23300000000000001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145187328"/>
        <c:axId val="109332160"/>
      </c:barChart>
      <c:catAx>
        <c:axId val="145187328"/>
        <c:scaling>
          <c:orientation val="minMax"/>
        </c:scaling>
        <c:delete val="0"/>
        <c:axPos val="l"/>
        <c:majorTickMark val="none"/>
        <c:minorTickMark val="none"/>
        <c:tickLblPos val="nextTo"/>
        <c:crossAx val="109332160"/>
        <c:crosses val="autoZero"/>
        <c:auto val="1"/>
        <c:lblAlgn val="ctr"/>
        <c:lblOffset val="100"/>
        <c:noMultiLvlLbl val="0"/>
      </c:catAx>
      <c:valAx>
        <c:axId val="109332160"/>
        <c:scaling>
          <c:orientation val="minMax"/>
        </c:scaling>
        <c:delete val="0"/>
        <c:axPos val="b"/>
        <c:majorGridlines/>
        <c:numFmt formatCode="0.0%" sourceLinked="1"/>
        <c:majorTickMark val="none"/>
        <c:minorTickMark val="none"/>
        <c:tickLblPos val="nextTo"/>
        <c:crossAx val="145187328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4C9A7-ED12-45A0-9142-3C39CC15C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Southern University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Stogner</dc:creator>
  <cp:lastModifiedBy>John Stogner</cp:lastModifiedBy>
  <cp:revision>3</cp:revision>
  <cp:lastPrinted>2013-07-08T18:18:00Z</cp:lastPrinted>
  <dcterms:created xsi:type="dcterms:W3CDTF">2014-01-12T18:05:00Z</dcterms:created>
  <dcterms:modified xsi:type="dcterms:W3CDTF">2014-01-13T20:13:00Z</dcterms:modified>
</cp:coreProperties>
</file>