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B9" w:rsidRDefault="00533EB9" w:rsidP="008E574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IV: Retention Rates across Four Stages of Engagement &amp; Treatment </w:t>
      </w:r>
    </w:p>
    <w:tbl>
      <w:tblPr>
        <w:tblStyle w:val="TableGrid"/>
        <w:tblW w:w="0" w:type="auto"/>
        <w:tblLook w:val="01E0"/>
      </w:tblPr>
      <w:tblGrid>
        <w:gridCol w:w="2448"/>
        <w:gridCol w:w="990"/>
        <w:gridCol w:w="1440"/>
        <w:gridCol w:w="1440"/>
        <w:gridCol w:w="1530"/>
        <w:gridCol w:w="1620"/>
      </w:tblGrid>
      <w:tr w:rsidR="00533EB9" w:rsidTr="008E5743">
        <w:tc>
          <w:tcPr>
            <w:tcW w:w="2448" w:type="dxa"/>
          </w:tcPr>
          <w:p w:rsidR="00533EB9" w:rsidRPr="006C1D79" w:rsidRDefault="00533EB9" w:rsidP="00533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Authors &amp; Date</w:t>
            </w:r>
          </w:p>
        </w:tc>
        <w:tc>
          <w:tcPr>
            <w:tcW w:w="99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440" w:type="dxa"/>
          </w:tcPr>
          <w:p w:rsidR="00533EB9" w:rsidRPr="006C1D79" w:rsidRDefault="00533EB9" w:rsidP="00533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IRS</w:t>
              </w:r>
            </w:smartTag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533EB9" w:rsidRPr="006C1D79" w:rsidRDefault="00533EB9" w:rsidP="00533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Assessment  </w:t>
            </w:r>
          </w:p>
        </w:tc>
        <w:tc>
          <w:tcPr>
            <w:tcW w:w="1530" w:type="dxa"/>
          </w:tcPr>
          <w:p w:rsidR="00533EB9" w:rsidRPr="006C1D79" w:rsidRDefault="00533EB9" w:rsidP="00533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Retained </w:t>
            </w:r>
          </w:p>
        </w:tc>
        <w:tc>
          <w:tcPr>
            <w:tcW w:w="1620" w:type="dxa"/>
          </w:tcPr>
          <w:p w:rsidR="00533EB9" w:rsidRPr="006C1D79" w:rsidRDefault="00533EB9" w:rsidP="00533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Treatment complete</w:t>
            </w:r>
          </w:p>
        </w:tc>
      </w:tr>
      <w:tr w:rsidR="00533EB9" w:rsidTr="008E5743">
        <w:tc>
          <w:tcPr>
            <w:tcW w:w="2448" w:type="dxa"/>
          </w:tcPr>
          <w:p w:rsidR="00533EB9" w:rsidRDefault="00533EB9" w:rsidP="00533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Longi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1991 [19]</w:t>
            </w:r>
          </w:p>
        </w:tc>
        <w:tc>
          <w:tcPr>
            <w:tcW w:w="99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1567</w:t>
            </w: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1118 (71%)</w:t>
            </w: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 (44%)*</w:t>
            </w:r>
          </w:p>
        </w:tc>
        <w:tc>
          <w:tcPr>
            <w:tcW w:w="153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 (28%)</w:t>
            </w:r>
          </w:p>
        </w:tc>
      </w:tr>
      <w:tr w:rsidR="00533EB9" w:rsidTr="008E5743">
        <w:tc>
          <w:tcPr>
            <w:tcW w:w="2448" w:type="dxa"/>
          </w:tcPr>
          <w:p w:rsidR="00533EB9" w:rsidRDefault="00533EB9" w:rsidP="00533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Arfken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2001 [29]</w:t>
            </w:r>
          </w:p>
        </w:tc>
        <w:tc>
          <w:tcPr>
            <w:tcW w:w="99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2471</w:t>
            </w: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(82%)</w:t>
            </w:r>
          </w:p>
        </w:tc>
        <w:tc>
          <w:tcPr>
            <w:tcW w:w="153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1766 (71%)</w:t>
            </w:r>
          </w:p>
        </w:tc>
        <w:tc>
          <w:tcPr>
            <w:tcW w:w="162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989 (40%)</w:t>
            </w:r>
          </w:p>
        </w:tc>
      </w:tr>
      <w:tr w:rsidR="00533EB9" w:rsidTr="008E5743">
        <w:tc>
          <w:tcPr>
            <w:tcW w:w="2448" w:type="dxa"/>
          </w:tcPr>
          <w:p w:rsidR="00533EB9" w:rsidRPr="006E46A5" w:rsidRDefault="00533EB9" w:rsidP="00533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Claus &amp;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Kindleberger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2002 [31]</w:t>
            </w:r>
          </w:p>
        </w:tc>
        <w:tc>
          <w:tcPr>
            <w:tcW w:w="990" w:type="dxa"/>
          </w:tcPr>
          <w:p w:rsidR="00533EB9" w:rsidRDefault="00533EB9" w:rsidP="00533EB9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440" w:type="dxa"/>
          </w:tcPr>
          <w:p w:rsidR="00533EB9" w:rsidRDefault="00533EB9" w:rsidP="00533EB9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33EB9" w:rsidRPr="006C1D79" w:rsidRDefault="00533EB9" w:rsidP="00533EB9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 (75%)</w:t>
            </w:r>
          </w:p>
        </w:tc>
        <w:tc>
          <w:tcPr>
            <w:tcW w:w="1530" w:type="dxa"/>
          </w:tcPr>
          <w:p w:rsidR="00533EB9" w:rsidRPr="006C1D7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 (60%)</w:t>
            </w:r>
          </w:p>
        </w:tc>
        <w:tc>
          <w:tcPr>
            <w:tcW w:w="1620" w:type="dxa"/>
          </w:tcPr>
          <w:p w:rsidR="00533EB9" w:rsidRPr="006C1D79" w:rsidRDefault="00533EB9" w:rsidP="00533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EB9" w:rsidTr="008E5743">
        <w:tc>
          <w:tcPr>
            <w:tcW w:w="2448" w:type="dxa"/>
          </w:tcPr>
          <w:p w:rsidR="00533EB9" w:rsidRDefault="00533EB9" w:rsidP="00533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Kleinman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1992 [22]</w:t>
            </w:r>
          </w:p>
        </w:tc>
        <w:tc>
          <w:tcPr>
            <w:tcW w:w="99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(58%)</w:t>
            </w:r>
          </w:p>
        </w:tc>
        <w:tc>
          <w:tcPr>
            <w:tcW w:w="153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(24%)</w:t>
            </w:r>
          </w:p>
        </w:tc>
        <w:tc>
          <w:tcPr>
            <w:tcW w:w="162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EB9" w:rsidTr="008E5743">
        <w:tc>
          <w:tcPr>
            <w:tcW w:w="2448" w:type="dxa"/>
          </w:tcPr>
          <w:p w:rsidR="00533EB9" w:rsidRDefault="00533EB9" w:rsidP="00533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Pinto et al., 2011 [34]</w:t>
            </w:r>
          </w:p>
        </w:tc>
        <w:tc>
          <w:tcPr>
            <w:tcW w:w="99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 (83%)</w:t>
            </w:r>
          </w:p>
        </w:tc>
        <w:tc>
          <w:tcPr>
            <w:tcW w:w="153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 (58%)</w:t>
            </w:r>
          </w:p>
        </w:tc>
        <w:tc>
          <w:tcPr>
            <w:tcW w:w="1620" w:type="dxa"/>
          </w:tcPr>
          <w:p w:rsidR="00533EB9" w:rsidRDefault="00533EB9" w:rsidP="00533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3EB9" w:rsidRPr="00C875EE" w:rsidRDefault="00533EB9" w:rsidP="00533EB9">
      <w:pPr>
        <w:rPr>
          <w:rFonts w:ascii="Times New Roman" w:hAnsi="Times New Roman"/>
          <w:sz w:val="18"/>
          <w:szCs w:val="18"/>
        </w:rPr>
      </w:pPr>
      <w:r w:rsidRPr="00C875EE">
        <w:rPr>
          <w:rFonts w:ascii="Times New Roman" w:hAnsi="Times New Roman"/>
          <w:sz w:val="18"/>
          <w:szCs w:val="18"/>
        </w:rPr>
        <w:t>*=209 individuals were ineligible for services after assessment, which lowered the base sample to 1358</w:t>
      </w:r>
    </w:p>
    <w:p w:rsidR="00533EB9" w:rsidRDefault="00533EB9"/>
    <w:sectPr w:rsidR="00533EB9" w:rsidSect="008E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noPunctuationKerning/>
  <w:characterSpacingControl w:val="doNotCompress"/>
  <w:compat/>
  <w:rsids>
    <w:rsidRoot w:val="00533EB9"/>
    <w:rsid w:val="00533EB9"/>
    <w:rsid w:val="008E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EB9"/>
    <w:pPr>
      <w:spacing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33EB9"/>
    <w:pPr>
      <w:spacing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IV: Retention Rates across Four Stages of Engagement &amp; Treatment </vt:lpstr>
    </vt:vector>
  </TitlesOfParts>
  <Company>Fayette Companies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IV: Retention Rates across Four Stages of Engagement &amp; Treatment</dc:title>
  <dc:creator>hdriscoll</dc:creator>
  <cp:lastModifiedBy>David Loveland</cp:lastModifiedBy>
  <cp:revision>2</cp:revision>
  <dcterms:created xsi:type="dcterms:W3CDTF">2014-08-25T00:33:00Z</dcterms:created>
  <dcterms:modified xsi:type="dcterms:W3CDTF">2014-08-25T00:33:00Z</dcterms:modified>
</cp:coreProperties>
</file>