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CE8" w:rsidRPr="00DC2BA6" w:rsidRDefault="00D86B22">
      <w:bookmarkStart w:id="0" w:name="_GoBack"/>
      <w:bookmarkEnd w:id="0"/>
      <w:r>
        <w:t>Table 4</w:t>
      </w:r>
      <w:r w:rsidR="00FD2932" w:rsidRPr="00DC2BA6">
        <w:t xml:space="preserve">: WIDER Checklist Development, Phase Three </w:t>
      </w:r>
    </w:p>
    <w:p w:rsidR="00FD2932" w:rsidRDefault="00FD2932"/>
    <w:tbl>
      <w:tblPr>
        <w:tblpPr w:leftFromText="180" w:rightFromText="180" w:vertAnchor="text" w:horzAnchor="margin" w:tblpY="-269"/>
        <w:tblW w:w="12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2"/>
        <w:gridCol w:w="326"/>
        <w:gridCol w:w="270"/>
        <w:gridCol w:w="360"/>
        <w:gridCol w:w="270"/>
        <w:gridCol w:w="360"/>
        <w:gridCol w:w="360"/>
        <w:gridCol w:w="270"/>
        <w:gridCol w:w="360"/>
        <w:gridCol w:w="270"/>
        <w:gridCol w:w="720"/>
        <w:gridCol w:w="720"/>
        <w:gridCol w:w="720"/>
        <w:gridCol w:w="270"/>
        <w:gridCol w:w="1620"/>
        <w:gridCol w:w="270"/>
        <w:gridCol w:w="236"/>
        <w:gridCol w:w="236"/>
        <w:gridCol w:w="248"/>
        <w:gridCol w:w="22"/>
        <w:gridCol w:w="262"/>
        <w:gridCol w:w="8"/>
        <w:gridCol w:w="236"/>
        <w:gridCol w:w="236"/>
        <w:gridCol w:w="236"/>
        <w:gridCol w:w="276"/>
      </w:tblGrid>
      <w:tr w:rsidR="00FD2932" w:rsidRPr="00FD2932" w:rsidTr="00510FDF">
        <w:trPr>
          <w:trHeight w:val="440"/>
        </w:trPr>
        <w:tc>
          <w:tcPr>
            <w:tcW w:w="3562" w:type="dxa"/>
            <w:vMerge w:val="restart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b/>
              </w:rPr>
            </w:pPr>
            <w:r w:rsidRPr="00FD2932">
              <w:rPr>
                <w:b/>
              </w:rPr>
              <w:t xml:space="preserve">  </w:t>
            </w:r>
          </w:p>
          <w:p w:rsidR="00FD2932" w:rsidRPr="00FD2932" w:rsidRDefault="00FD2932" w:rsidP="00FD293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FD2932" w:rsidRPr="00FD2932" w:rsidRDefault="00FD2932" w:rsidP="00FD2932">
            <w:pPr>
              <w:spacing w:after="0" w:line="240" w:lineRule="auto"/>
              <w:jc w:val="center"/>
              <w:rPr>
                <w:b/>
              </w:rPr>
            </w:pPr>
            <w:r w:rsidRPr="00FD2932">
              <w:rPr>
                <w:b/>
              </w:rPr>
              <w:t>First Author</w:t>
            </w:r>
            <w:r>
              <w:rPr>
                <w:b/>
              </w:rPr>
              <w:t xml:space="preserve"> </w:t>
            </w:r>
            <w:r w:rsidRPr="00FD2932">
              <w:rPr>
                <w:b/>
              </w:rPr>
              <w:t>(Year)</w:t>
            </w:r>
          </w:p>
        </w:tc>
        <w:tc>
          <w:tcPr>
            <w:tcW w:w="9162" w:type="dxa"/>
            <w:gridSpan w:val="25"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FD2932">
              <w:rPr>
                <w:b/>
                <w:color w:val="FFFFFF" w:themeColor="background1"/>
              </w:rPr>
              <w:t xml:space="preserve">WIDER Recommendations to Improve Reporting of the </w:t>
            </w:r>
          </w:p>
          <w:p w:rsidR="00FD2932" w:rsidRPr="00FD2932" w:rsidRDefault="00FD2932" w:rsidP="00FD2932">
            <w:pPr>
              <w:spacing w:after="0" w:line="240" w:lineRule="auto"/>
              <w:jc w:val="center"/>
              <w:rPr>
                <w:b/>
              </w:rPr>
            </w:pPr>
            <w:r w:rsidRPr="00FD2932">
              <w:rPr>
                <w:b/>
                <w:color w:val="FFFFFF" w:themeColor="background1"/>
              </w:rPr>
              <w:t>Content of Behaviour Change Interventions</w:t>
            </w:r>
          </w:p>
        </w:tc>
      </w:tr>
      <w:tr w:rsidR="00FD2932" w:rsidRPr="00FD2932" w:rsidTr="00510FDF">
        <w:trPr>
          <w:trHeight w:val="566"/>
        </w:trPr>
        <w:tc>
          <w:tcPr>
            <w:tcW w:w="3562" w:type="dxa"/>
            <w:vMerge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</w:pPr>
          </w:p>
        </w:tc>
        <w:tc>
          <w:tcPr>
            <w:tcW w:w="2576" w:type="dxa"/>
            <w:gridSpan w:val="8"/>
            <w:shd w:val="clear" w:color="auto" w:fill="F2F2F2" w:themeFill="background1" w:themeFillShade="F2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FD2932">
              <w:rPr>
                <w:b/>
                <w:sz w:val="17"/>
                <w:szCs w:val="17"/>
              </w:rPr>
              <w:t>Recommendation #1</w:t>
            </w:r>
          </w:p>
          <w:p w:rsidR="00FD2932" w:rsidRPr="00FD2932" w:rsidRDefault="00FD2932" w:rsidP="00FD293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D2932">
              <w:rPr>
                <w:sz w:val="17"/>
                <w:szCs w:val="17"/>
              </w:rPr>
              <w:t>Detailed Description of Intervention</w:t>
            </w:r>
          </w:p>
        </w:tc>
        <w:tc>
          <w:tcPr>
            <w:tcW w:w="270" w:type="dxa"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60" w:type="dxa"/>
            <w:gridSpan w:val="3"/>
            <w:shd w:val="clear" w:color="auto" w:fill="F2F2F2" w:themeFill="background1" w:themeFillShade="F2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FD2932">
              <w:rPr>
                <w:b/>
                <w:sz w:val="17"/>
                <w:szCs w:val="17"/>
              </w:rPr>
              <w:t>Recommendation #2</w:t>
            </w:r>
          </w:p>
          <w:p w:rsidR="00FD2932" w:rsidRPr="00FD2932" w:rsidRDefault="00FD2932" w:rsidP="00FD293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D2932">
              <w:rPr>
                <w:sz w:val="17"/>
                <w:szCs w:val="17"/>
              </w:rPr>
              <w:t>Clarification of Assumed Change Process and Design Principles</w:t>
            </w:r>
          </w:p>
        </w:tc>
        <w:tc>
          <w:tcPr>
            <w:tcW w:w="270" w:type="dxa"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FD2932">
              <w:rPr>
                <w:b/>
                <w:sz w:val="17"/>
                <w:szCs w:val="17"/>
              </w:rPr>
              <w:t>Recommendation #3</w:t>
            </w:r>
          </w:p>
          <w:p w:rsidR="00FD2932" w:rsidRPr="00FD2932" w:rsidRDefault="00FD2932" w:rsidP="00FD2932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FD2932">
              <w:rPr>
                <w:sz w:val="17"/>
                <w:szCs w:val="17"/>
              </w:rPr>
              <w:t>Access to Intervention Manuals/Protocols</w:t>
            </w:r>
          </w:p>
        </w:tc>
        <w:tc>
          <w:tcPr>
            <w:tcW w:w="270" w:type="dxa"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96" w:type="dxa"/>
            <w:gridSpan w:val="10"/>
            <w:shd w:val="clear" w:color="auto" w:fill="F2F2F2" w:themeFill="background1" w:themeFillShade="F2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FD2932">
              <w:rPr>
                <w:b/>
                <w:sz w:val="17"/>
                <w:szCs w:val="17"/>
              </w:rPr>
              <w:t>Recommendation #4</w:t>
            </w:r>
          </w:p>
          <w:p w:rsidR="00FD2932" w:rsidRPr="00FD2932" w:rsidRDefault="00FD2932" w:rsidP="00FD2932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FD2932">
              <w:rPr>
                <w:sz w:val="17"/>
                <w:szCs w:val="17"/>
              </w:rPr>
              <w:t xml:space="preserve">Detailed Description of </w:t>
            </w:r>
          </w:p>
          <w:p w:rsidR="00FD2932" w:rsidRPr="00FD2932" w:rsidRDefault="00FD2932" w:rsidP="00FD2932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FD2932">
              <w:rPr>
                <w:sz w:val="17"/>
                <w:szCs w:val="17"/>
              </w:rPr>
              <w:t>Active Control Conditions</w:t>
            </w:r>
          </w:p>
        </w:tc>
      </w:tr>
      <w:tr w:rsidR="00FD2932" w:rsidRPr="00FD2932" w:rsidTr="00510FDF">
        <w:trPr>
          <w:trHeight w:val="274"/>
        </w:trPr>
        <w:tc>
          <w:tcPr>
            <w:tcW w:w="12724" w:type="dxa"/>
            <w:gridSpan w:val="26"/>
            <w:shd w:val="clear" w:color="auto" w:fill="8080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b/>
              </w:rPr>
            </w:pPr>
            <w:r w:rsidRPr="00FD2932">
              <w:rPr>
                <w:b/>
                <w:color w:val="FFFFFF"/>
              </w:rPr>
              <w:t xml:space="preserve">                                                   Physiotherapy Studies</w:t>
            </w:r>
          </w:p>
        </w:tc>
      </w:tr>
      <w:tr w:rsidR="00FD2932" w:rsidRPr="00FD2932" w:rsidTr="00510FDF">
        <w:trPr>
          <w:trHeight w:val="422"/>
        </w:trPr>
        <w:tc>
          <w:tcPr>
            <w:tcW w:w="3562" w:type="dxa"/>
            <w:shd w:val="clear" w:color="auto" w:fill="D9D9D9" w:themeFill="background1" w:themeFillShade="D9"/>
          </w:tcPr>
          <w:p w:rsidR="00FD2932" w:rsidRPr="00FD2932" w:rsidRDefault="00FD2932" w:rsidP="00FD2932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 w:rsidRPr="00FD2932">
              <w:rPr>
                <w:rFonts w:cs="Calibri"/>
                <w:sz w:val="21"/>
                <w:szCs w:val="21"/>
              </w:rPr>
              <w:t xml:space="preserve">*Bekkering, GE, Hendricks, HJM, et al. </w:t>
            </w:r>
          </w:p>
          <w:p w:rsidR="00FD2932" w:rsidRPr="00FD2932" w:rsidRDefault="00FD2932" w:rsidP="00FD2932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 w:rsidRPr="00FD2932">
              <w:rPr>
                <w:rFonts w:cs="Calibri"/>
                <w:sz w:val="21"/>
                <w:szCs w:val="21"/>
              </w:rPr>
              <w:t>(2005)</w:t>
            </w:r>
            <w:r>
              <w:rPr>
                <w:rFonts w:cs="Calibri"/>
                <w:sz w:val="21"/>
                <w:szCs w:val="21"/>
              </w:rPr>
              <w:t xml:space="preserve"> [1]</w:t>
            </w:r>
          </w:p>
        </w:tc>
        <w:tc>
          <w:tcPr>
            <w:tcW w:w="326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1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2</w:t>
            </w:r>
          </w:p>
        </w:tc>
        <w:tc>
          <w:tcPr>
            <w:tcW w:w="360" w:type="dxa"/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4</w:t>
            </w:r>
          </w:p>
        </w:tc>
        <w:tc>
          <w:tcPr>
            <w:tcW w:w="36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5</w:t>
            </w:r>
          </w:p>
        </w:tc>
        <w:tc>
          <w:tcPr>
            <w:tcW w:w="36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6</w:t>
            </w:r>
          </w:p>
        </w:tc>
        <w:tc>
          <w:tcPr>
            <w:tcW w:w="27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7</w:t>
            </w:r>
          </w:p>
        </w:tc>
        <w:tc>
          <w:tcPr>
            <w:tcW w:w="36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8</w:t>
            </w:r>
          </w:p>
        </w:tc>
        <w:tc>
          <w:tcPr>
            <w:tcW w:w="270" w:type="dxa"/>
            <w:vMerge w:val="restart"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2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A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B</w:t>
            </w:r>
          </w:p>
        </w:tc>
        <w:tc>
          <w:tcPr>
            <w:tcW w:w="72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C</w:t>
            </w:r>
          </w:p>
        </w:tc>
        <w:tc>
          <w:tcPr>
            <w:tcW w:w="270" w:type="dxa"/>
            <w:vMerge w:val="restart"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2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NO</w:t>
            </w:r>
          </w:p>
        </w:tc>
        <w:tc>
          <w:tcPr>
            <w:tcW w:w="270" w:type="dxa"/>
            <w:vMerge w:val="restart"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1</w:t>
            </w:r>
          </w:p>
        </w:tc>
        <w:tc>
          <w:tcPr>
            <w:tcW w:w="236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2</w:t>
            </w:r>
          </w:p>
        </w:tc>
        <w:tc>
          <w:tcPr>
            <w:tcW w:w="248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3</w:t>
            </w:r>
          </w:p>
        </w:tc>
        <w:tc>
          <w:tcPr>
            <w:tcW w:w="284" w:type="dxa"/>
            <w:gridSpan w:val="2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4</w:t>
            </w:r>
          </w:p>
        </w:tc>
        <w:tc>
          <w:tcPr>
            <w:tcW w:w="244" w:type="dxa"/>
            <w:gridSpan w:val="2"/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5</w:t>
            </w:r>
          </w:p>
        </w:tc>
        <w:tc>
          <w:tcPr>
            <w:tcW w:w="236" w:type="dxa"/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6</w:t>
            </w:r>
          </w:p>
        </w:tc>
        <w:tc>
          <w:tcPr>
            <w:tcW w:w="236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7</w:t>
            </w:r>
          </w:p>
        </w:tc>
        <w:tc>
          <w:tcPr>
            <w:tcW w:w="276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8</w:t>
            </w:r>
          </w:p>
        </w:tc>
      </w:tr>
      <w:tr w:rsidR="00FD2932" w:rsidRPr="00FD2932" w:rsidTr="00510FDF">
        <w:trPr>
          <w:trHeight w:val="440"/>
        </w:trPr>
        <w:tc>
          <w:tcPr>
            <w:tcW w:w="3562" w:type="dxa"/>
            <w:shd w:val="clear" w:color="auto" w:fill="D9D9D9" w:themeFill="background1" w:themeFillShade="D9"/>
          </w:tcPr>
          <w:p w:rsidR="00FD2932" w:rsidRPr="00FD2932" w:rsidRDefault="00FD2932" w:rsidP="00FD2932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 w:rsidRPr="00FD2932">
              <w:rPr>
                <w:rFonts w:cs="Calibri"/>
                <w:sz w:val="21"/>
                <w:szCs w:val="21"/>
              </w:rPr>
              <w:t>*Bekkering, GE, van Tulder MW, et al. (2005)</w:t>
            </w:r>
            <w:r>
              <w:rPr>
                <w:rFonts w:cs="Calibri"/>
                <w:sz w:val="21"/>
                <w:szCs w:val="21"/>
              </w:rPr>
              <w:t xml:space="preserve"> [2]</w:t>
            </w:r>
          </w:p>
        </w:tc>
        <w:tc>
          <w:tcPr>
            <w:tcW w:w="326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1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2</w:t>
            </w:r>
          </w:p>
        </w:tc>
        <w:tc>
          <w:tcPr>
            <w:tcW w:w="36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4</w:t>
            </w:r>
          </w:p>
        </w:tc>
        <w:tc>
          <w:tcPr>
            <w:tcW w:w="36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5</w:t>
            </w:r>
          </w:p>
        </w:tc>
        <w:tc>
          <w:tcPr>
            <w:tcW w:w="36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6</w:t>
            </w:r>
          </w:p>
        </w:tc>
        <w:tc>
          <w:tcPr>
            <w:tcW w:w="27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7</w:t>
            </w:r>
          </w:p>
        </w:tc>
        <w:tc>
          <w:tcPr>
            <w:tcW w:w="36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8</w:t>
            </w:r>
          </w:p>
        </w:tc>
        <w:tc>
          <w:tcPr>
            <w:tcW w:w="270" w:type="dxa"/>
            <w:vMerge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2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A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B</w:t>
            </w:r>
          </w:p>
        </w:tc>
        <w:tc>
          <w:tcPr>
            <w:tcW w:w="72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C</w:t>
            </w:r>
          </w:p>
        </w:tc>
        <w:tc>
          <w:tcPr>
            <w:tcW w:w="270" w:type="dxa"/>
            <w:vMerge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2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NO</w:t>
            </w:r>
          </w:p>
        </w:tc>
        <w:tc>
          <w:tcPr>
            <w:tcW w:w="270" w:type="dxa"/>
            <w:vMerge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1</w:t>
            </w:r>
          </w:p>
        </w:tc>
        <w:tc>
          <w:tcPr>
            <w:tcW w:w="236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2</w:t>
            </w:r>
          </w:p>
        </w:tc>
        <w:tc>
          <w:tcPr>
            <w:tcW w:w="248" w:type="dxa"/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3</w:t>
            </w:r>
          </w:p>
        </w:tc>
        <w:tc>
          <w:tcPr>
            <w:tcW w:w="284" w:type="dxa"/>
            <w:gridSpan w:val="2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4</w:t>
            </w:r>
          </w:p>
        </w:tc>
        <w:tc>
          <w:tcPr>
            <w:tcW w:w="244" w:type="dxa"/>
            <w:gridSpan w:val="2"/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5</w:t>
            </w:r>
          </w:p>
        </w:tc>
        <w:tc>
          <w:tcPr>
            <w:tcW w:w="236" w:type="dxa"/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6</w:t>
            </w:r>
          </w:p>
        </w:tc>
        <w:tc>
          <w:tcPr>
            <w:tcW w:w="236" w:type="dxa"/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7</w:t>
            </w:r>
          </w:p>
        </w:tc>
        <w:tc>
          <w:tcPr>
            <w:tcW w:w="276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8</w:t>
            </w:r>
          </w:p>
        </w:tc>
      </w:tr>
      <w:tr w:rsidR="00FD2932" w:rsidRPr="00FD2932" w:rsidTr="00510FDF">
        <w:trPr>
          <w:trHeight w:val="440"/>
        </w:trPr>
        <w:tc>
          <w:tcPr>
            <w:tcW w:w="3562" w:type="dxa"/>
            <w:shd w:val="clear" w:color="auto" w:fill="D9D9D9" w:themeFill="background1" w:themeFillShade="D9"/>
          </w:tcPr>
          <w:p w:rsidR="00FD2932" w:rsidRPr="00FD2932" w:rsidRDefault="00FD2932" w:rsidP="00FD2932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 w:rsidRPr="00FD2932">
              <w:rPr>
                <w:rFonts w:cs="Calibri"/>
                <w:sz w:val="21"/>
                <w:szCs w:val="21"/>
              </w:rPr>
              <w:t xml:space="preserve">*Hoeijenbos, M, et al.  (2005) </w:t>
            </w:r>
            <w:r>
              <w:rPr>
                <w:rFonts w:cs="Calibri"/>
                <w:sz w:val="21"/>
                <w:szCs w:val="21"/>
              </w:rPr>
              <w:t>[3]</w:t>
            </w:r>
          </w:p>
        </w:tc>
        <w:tc>
          <w:tcPr>
            <w:tcW w:w="326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1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2</w:t>
            </w:r>
          </w:p>
        </w:tc>
        <w:tc>
          <w:tcPr>
            <w:tcW w:w="36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5</w:t>
            </w:r>
          </w:p>
        </w:tc>
        <w:tc>
          <w:tcPr>
            <w:tcW w:w="36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6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7</w:t>
            </w:r>
          </w:p>
        </w:tc>
        <w:tc>
          <w:tcPr>
            <w:tcW w:w="36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8</w:t>
            </w:r>
          </w:p>
        </w:tc>
        <w:tc>
          <w:tcPr>
            <w:tcW w:w="270" w:type="dxa"/>
            <w:vMerge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2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A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B</w:t>
            </w:r>
          </w:p>
        </w:tc>
        <w:tc>
          <w:tcPr>
            <w:tcW w:w="72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C</w:t>
            </w:r>
          </w:p>
        </w:tc>
        <w:tc>
          <w:tcPr>
            <w:tcW w:w="270" w:type="dxa"/>
            <w:vMerge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2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NO</w:t>
            </w:r>
          </w:p>
        </w:tc>
        <w:tc>
          <w:tcPr>
            <w:tcW w:w="270" w:type="dxa"/>
            <w:vMerge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1</w:t>
            </w:r>
          </w:p>
        </w:tc>
        <w:tc>
          <w:tcPr>
            <w:tcW w:w="236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2</w:t>
            </w:r>
          </w:p>
        </w:tc>
        <w:tc>
          <w:tcPr>
            <w:tcW w:w="248" w:type="dxa"/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3</w:t>
            </w:r>
          </w:p>
        </w:tc>
        <w:tc>
          <w:tcPr>
            <w:tcW w:w="284" w:type="dxa"/>
            <w:gridSpan w:val="2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4</w:t>
            </w:r>
          </w:p>
        </w:tc>
        <w:tc>
          <w:tcPr>
            <w:tcW w:w="244" w:type="dxa"/>
            <w:gridSpan w:val="2"/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5</w:t>
            </w:r>
          </w:p>
        </w:tc>
        <w:tc>
          <w:tcPr>
            <w:tcW w:w="236" w:type="dxa"/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6</w:t>
            </w:r>
          </w:p>
        </w:tc>
        <w:tc>
          <w:tcPr>
            <w:tcW w:w="236" w:type="dxa"/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7</w:t>
            </w:r>
          </w:p>
        </w:tc>
        <w:tc>
          <w:tcPr>
            <w:tcW w:w="276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8</w:t>
            </w:r>
          </w:p>
        </w:tc>
      </w:tr>
      <w:tr w:rsidR="00FD2932" w:rsidRPr="00FD2932" w:rsidTr="00510FDF">
        <w:trPr>
          <w:trHeight w:val="440"/>
        </w:trPr>
        <w:tc>
          <w:tcPr>
            <w:tcW w:w="3562" w:type="dxa"/>
            <w:shd w:val="clear" w:color="auto" w:fill="D9D9D9" w:themeFill="background1" w:themeFillShade="D9"/>
          </w:tcPr>
          <w:p w:rsidR="00FD2932" w:rsidRPr="00FD2932" w:rsidRDefault="00FD2932" w:rsidP="00FD2932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 w:rsidRPr="00FD2932">
              <w:rPr>
                <w:rFonts w:cs="Calibri"/>
                <w:sz w:val="21"/>
                <w:szCs w:val="21"/>
              </w:rPr>
              <w:t>Rebbeck, T, et al. (2006)</w:t>
            </w:r>
            <w:r>
              <w:rPr>
                <w:rFonts w:cs="Calibri"/>
                <w:sz w:val="21"/>
                <w:szCs w:val="21"/>
              </w:rPr>
              <w:t xml:space="preserve"> [4]</w:t>
            </w:r>
          </w:p>
        </w:tc>
        <w:tc>
          <w:tcPr>
            <w:tcW w:w="326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rPr>
                <w:rFonts w:cs="Calibri"/>
              </w:rPr>
            </w:pPr>
            <w:r w:rsidRPr="00FD2932">
              <w:rPr>
                <w:rFonts w:cs="Calibri"/>
              </w:rPr>
              <w:t>1</w:t>
            </w:r>
          </w:p>
        </w:tc>
        <w:tc>
          <w:tcPr>
            <w:tcW w:w="27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2</w:t>
            </w:r>
          </w:p>
        </w:tc>
        <w:tc>
          <w:tcPr>
            <w:tcW w:w="36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4</w:t>
            </w:r>
          </w:p>
        </w:tc>
        <w:tc>
          <w:tcPr>
            <w:tcW w:w="36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5</w:t>
            </w:r>
          </w:p>
        </w:tc>
        <w:tc>
          <w:tcPr>
            <w:tcW w:w="36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6</w:t>
            </w:r>
          </w:p>
        </w:tc>
        <w:tc>
          <w:tcPr>
            <w:tcW w:w="27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7</w:t>
            </w:r>
          </w:p>
        </w:tc>
        <w:tc>
          <w:tcPr>
            <w:tcW w:w="36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8</w:t>
            </w:r>
          </w:p>
        </w:tc>
        <w:tc>
          <w:tcPr>
            <w:tcW w:w="270" w:type="dxa"/>
            <w:vMerge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2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A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tabs>
                <w:tab w:val="center" w:pos="207"/>
              </w:tabs>
              <w:spacing w:after="0" w:line="240" w:lineRule="auto"/>
              <w:rPr>
                <w:rFonts w:cs="Calibri"/>
              </w:rPr>
            </w:pPr>
            <w:r w:rsidRPr="00FD2932">
              <w:rPr>
                <w:rFonts w:cs="Calibri"/>
              </w:rPr>
              <w:tab/>
              <w:t>B</w:t>
            </w:r>
          </w:p>
        </w:tc>
        <w:tc>
          <w:tcPr>
            <w:tcW w:w="72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C</w:t>
            </w:r>
          </w:p>
        </w:tc>
        <w:tc>
          <w:tcPr>
            <w:tcW w:w="270" w:type="dxa"/>
            <w:vMerge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2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NO</w:t>
            </w:r>
          </w:p>
        </w:tc>
        <w:tc>
          <w:tcPr>
            <w:tcW w:w="270" w:type="dxa"/>
            <w:vMerge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1</w:t>
            </w:r>
          </w:p>
        </w:tc>
        <w:tc>
          <w:tcPr>
            <w:tcW w:w="236" w:type="dxa"/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2</w:t>
            </w:r>
          </w:p>
        </w:tc>
        <w:tc>
          <w:tcPr>
            <w:tcW w:w="248" w:type="dxa"/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3</w:t>
            </w:r>
          </w:p>
        </w:tc>
        <w:tc>
          <w:tcPr>
            <w:tcW w:w="284" w:type="dxa"/>
            <w:gridSpan w:val="2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4</w:t>
            </w:r>
          </w:p>
        </w:tc>
        <w:tc>
          <w:tcPr>
            <w:tcW w:w="244" w:type="dxa"/>
            <w:gridSpan w:val="2"/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5</w:t>
            </w:r>
          </w:p>
        </w:tc>
        <w:tc>
          <w:tcPr>
            <w:tcW w:w="236" w:type="dxa"/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6</w:t>
            </w:r>
          </w:p>
        </w:tc>
        <w:tc>
          <w:tcPr>
            <w:tcW w:w="236" w:type="dxa"/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7</w:t>
            </w:r>
          </w:p>
        </w:tc>
        <w:tc>
          <w:tcPr>
            <w:tcW w:w="276" w:type="dxa"/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8</w:t>
            </w:r>
          </w:p>
        </w:tc>
      </w:tr>
      <w:tr w:rsidR="00FD2932" w:rsidRPr="00FD2932" w:rsidTr="00510FDF">
        <w:trPr>
          <w:trHeight w:val="532"/>
        </w:trPr>
        <w:tc>
          <w:tcPr>
            <w:tcW w:w="3562" w:type="dxa"/>
            <w:shd w:val="clear" w:color="auto" w:fill="D9D9D9" w:themeFill="background1" w:themeFillShade="D9"/>
          </w:tcPr>
          <w:p w:rsidR="00FD2932" w:rsidRPr="00FD2932" w:rsidRDefault="00FD2932" w:rsidP="00FD2932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 w:rsidRPr="00FD2932">
              <w:rPr>
                <w:rFonts w:cs="Calibri"/>
                <w:sz w:val="21"/>
                <w:szCs w:val="21"/>
              </w:rPr>
              <w:t>Stevenson, K, et al. (2006)</w:t>
            </w:r>
            <w:r>
              <w:rPr>
                <w:rFonts w:cs="Calibri"/>
                <w:sz w:val="21"/>
                <w:szCs w:val="21"/>
              </w:rPr>
              <w:t xml:space="preserve"> [5]</w:t>
            </w:r>
          </w:p>
        </w:tc>
        <w:tc>
          <w:tcPr>
            <w:tcW w:w="326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1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2</w:t>
            </w:r>
          </w:p>
        </w:tc>
        <w:tc>
          <w:tcPr>
            <w:tcW w:w="36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4</w:t>
            </w:r>
          </w:p>
        </w:tc>
        <w:tc>
          <w:tcPr>
            <w:tcW w:w="36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5</w:t>
            </w:r>
          </w:p>
        </w:tc>
        <w:tc>
          <w:tcPr>
            <w:tcW w:w="36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6</w:t>
            </w:r>
          </w:p>
        </w:tc>
        <w:tc>
          <w:tcPr>
            <w:tcW w:w="27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7</w:t>
            </w:r>
          </w:p>
        </w:tc>
        <w:tc>
          <w:tcPr>
            <w:tcW w:w="36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8</w:t>
            </w:r>
          </w:p>
        </w:tc>
        <w:tc>
          <w:tcPr>
            <w:tcW w:w="270" w:type="dxa"/>
            <w:vMerge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2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A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B</w:t>
            </w:r>
          </w:p>
        </w:tc>
        <w:tc>
          <w:tcPr>
            <w:tcW w:w="72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C</w:t>
            </w:r>
          </w:p>
        </w:tc>
        <w:tc>
          <w:tcPr>
            <w:tcW w:w="270" w:type="dxa"/>
            <w:vMerge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2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NO</w:t>
            </w:r>
          </w:p>
        </w:tc>
        <w:tc>
          <w:tcPr>
            <w:tcW w:w="270" w:type="dxa"/>
            <w:vMerge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1</w:t>
            </w:r>
          </w:p>
        </w:tc>
        <w:tc>
          <w:tcPr>
            <w:tcW w:w="236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2</w:t>
            </w:r>
          </w:p>
        </w:tc>
        <w:tc>
          <w:tcPr>
            <w:tcW w:w="248" w:type="dxa"/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3</w:t>
            </w:r>
          </w:p>
        </w:tc>
        <w:tc>
          <w:tcPr>
            <w:tcW w:w="284" w:type="dxa"/>
            <w:gridSpan w:val="2"/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4</w:t>
            </w:r>
          </w:p>
        </w:tc>
        <w:tc>
          <w:tcPr>
            <w:tcW w:w="244" w:type="dxa"/>
            <w:gridSpan w:val="2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5</w:t>
            </w:r>
          </w:p>
        </w:tc>
        <w:tc>
          <w:tcPr>
            <w:tcW w:w="236" w:type="dxa"/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6</w:t>
            </w:r>
          </w:p>
        </w:tc>
        <w:tc>
          <w:tcPr>
            <w:tcW w:w="236" w:type="dxa"/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7</w:t>
            </w:r>
          </w:p>
        </w:tc>
        <w:tc>
          <w:tcPr>
            <w:tcW w:w="276" w:type="dxa"/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8</w:t>
            </w:r>
          </w:p>
        </w:tc>
      </w:tr>
      <w:tr w:rsidR="00FD2932" w:rsidRPr="00FD2932" w:rsidTr="00510FDF">
        <w:trPr>
          <w:trHeight w:val="467"/>
        </w:trPr>
        <w:tc>
          <w:tcPr>
            <w:tcW w:w="3562" w:type="dxa"/>
            <w:shd w:val="clear" w:color="auto" w:fill="D9D9D9" w:themeFill="background1" w:themeFillShade="D9"/>
          </w:tcPr>
          <w:p w:rsidR="00FD2932" w:rsidRPr="00FD2932" w:rsidRDefault="00FD2932" w:rsidP="00FD2932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 w:rsidRPr="00FD2932">
              <w:rPr>
                <w:rFonts w:cs="Calibri"/>
                <w:sz w:val="21"/>
                <w:szCs w:val="21"/>
              </w:rPr>
              <w:t>Kerssens, JJ, et al. (1999)</w:t>
            </w:r>
            <w:r>
              <w:rPr>
                <w:rFonts w:cs="Calibri"/>
                <w:sz w:val="21"/>
                <w:szCs w:val="21"/>
              </w:rPr>
              <w:t xml:space="preserve"> [6]</w:t>
            </w:r>
          </w:p>
        </w:tc>
        <w:tc>
          <w:tcPr>
            <w:tcW w:w="326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1</w:t>
            </w:r>
          </w:p>
        </w:tc>
        <w:tc>
          <w:tcPr>
            <w:tcW w:w="27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2</w:t>
            </w:r>
          </w:p>
        </w:tc>
        <w:tc>
          <w:tcPr>
            <w:tcW w:w="36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4</w:t>
            </w:r>
          </w:p>
        </w:tc>
        <w:tc>
          <w:tcPr>
            <w:tcW w:w="36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5</w:t>
            </w:r>
          </w:p>
        </w:tc>
        <w:tc>
          <w:tcPr>
            <w:tcW w:w="36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6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7</w:t>
            </w:r>
          </w:p>
        </w:tc>
        <w:tc>
          <w:tcPr>
            <w:tcW w:w="36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8</w:t>
            </w:r>
          </w:p>
        </w:tc>
        <w:tc>
          <w:tcPr>
            <w:tcW w:w="270" w:type="dxa"/>
            <w:vMerge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2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A</w:t>
            </w:r>
          </w:p>
        </w:tc>
        <w:tc>
          <w:tcPr>
            <w:tcW w:w="72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B</w:t>
            </w:r>
          </w:p>
        </w:tc>
        <w:tc>
          <w:tcPr>
            <w:tcW w:w="72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C</w:t>
            </w:r>
          </w:p>
        </w:tc>
        <w:tc>
          <w:tcPr>
            <w:tcW w:w="270" w:type="dxa"/>
            <w:vMerge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2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YES</w:t>
            </w:r>
          </w:p>
        </w:tc>
        <w:tc>
          <w:tcPr>
            <w:tcW w:w="270" w:type="dxa"/>
            <w:vMerge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996" w:type="dxa"/>
            <w:gridSpan w:val="10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No control group</w:t>
            </w:r>
          </w:p>
        </w:tc>
      </w:tr>
      <w:tr w:rsidR="00FD2932" w:rsidRPr="00FD2932" w:rsidTr="00510FDF">
        <w:trPr>
          <w:trHeight w:val="440"/>
        </w:trPr>
        <w:tc>
          <w:tcPr>
            <w:tcW w:w="3562" w:type="dxa"/>
            <w:shd w:val="clear" w:color="auto" w:fill="D9D9D9" w:themeFill="background1" w:themeFillShade="D9"/>
          </w:tcPr>
          <w:p w:rsidR="00FD2932" w:rsidRPr="00FD2932" w:rsidRDefault="00FD2932" w:rsidP="00FD2932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 w:rsidRPr="00FD2932">
              <w:rPr>
                <w:rFonts w:cs="Calibri"/>
                <w:sz w:val="21"/>
                <w:szCs w:val="21"/>
              </w:rPr>
              <w:t>Brown, CJ et al.(2005)</w:t>
            </w:r>
            <w:r>
              <w:rPr>
                <w:rFonts w:cs="Calibri"/>
                <w:sz w:val="21"/>
                <w:szCs w:val="21"/>
              </w:rPr>
              <w:t xml:space="preserve"> [7]</w:t>
            </w:r>
          </w:p>
        </w:tc>
        <w:tc>
          <w:tcPr>
            <w:tcW w:w="326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rPr>
                <w:rFonts w:cs="Calibri"/>
              </w:rPr>
            </w:pPr>
            <w:r w:rsidRPr="00FD2932">
              <w:rPr>
                <w:rFonts w:cs="Calibri"/>
              </w:rPr>
              <w:t>1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2</w:t>
            </w:r>
          </w:p>
        </w:tc>
        <w:tc>
          <w:tcPr>
            <w:tcW w:w="36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4</w:t>
            </w:r>
          </w:p>
        </w:tc>
        <w:tc>
          <w:tcPr>
            <w:tcW w:w="36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5</w:t>
            </w:r>
          </w:p>
        </w:tc>
        <w:tc>
          <w:tcPr>
            <w:tcW w:w="36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6</w:t>
            </w:r>
          </w:p>
        </w:tc>
        <w:tc>
          <w:tcPr>
            <w:tcW w:w="27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7</w:t>
            </w:r>
          </w:p>
        </w:tc>
        <w:tc>
          <w:tcPr>
            <w:tcW w:w="36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8</w:t>
            </w:r>
          </w:p>
        </w:tc>
        <w:tc>
          <w:tcPr>
            <w:tcW w:w="270" w:type="dxa"/>
            <w:vMerge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2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A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B</w:t>
            </w:r>
          </w:p>
        </w:tc>
        <w:tc>
          <w:tcPr>
            <w:tcW w:w="72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C</w:t>
            </w:r>
          </w:p>
        </w:tc>
        <w:tc>
          <w:tcPr>
            <w:tcW w:w="270" w:type="dxa"/>
            <w:vMerge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2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NO</w:t>
            </w:r>
          </w:p>
        </w:tc>
        <w:tc>
          <w:tcPr>
            <w:tcW w:w="270" w:type="dxa"/>
            <w:vMerge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996" w:type="dxa"/>
            <w:gridSpan w:val="10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No control group</w:t>
            </w:r>
          </w:p>
        </w:tc>
      </w:tr>
      <w:tr w:rsidR="00FD2932" w:rsidRPr="00FD2932" w:rsidTr="00510FDF">
        <w:trPr>
          <w:trHeight w:val="440"/>
        </w:trPr>
        <w:tc>
          <w:tcPr>
            <w:tcW w:w="3562" w:type="dxa"/>
            <w:shd w:val="clear" w:color="auto" w:fill="D9D9D9" w:themeFill="background1" w:themeFillShade="D9"/>
          </w:tcPr>
          <w:p w:rsidR="00FD2932" w:rsidRPr="00FD2932" w:rsidRDefault="00FD2932" w:rsidP="00FD2932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 w:rsidRPr="00FD2932">
              <w:rPr>
                <w:rFonts w:cs="Calibri"/>
                <w:sz w:val="21"/>
                <w:szCs w:val="21"/>
              </w:rPr>
              <w:t>Gross, DP, et al. (2009)</w:t>
            </w:r>
            <w:r>
              <w:rPr>
                <w:rFonts w:cs="Calibri"/>
                <w:sz w:val="21"/>
                <w:szCs w:val="21"/>
              </w:rPr>
              <w:t xml:space="preserve"> [8]</w:t>
            </w:r>
          </w:p>
        </w:tc>
        <w:tc>
          <w:tcPr>
            <w:tcW w:w="326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rPr>
                <w:rFonts w:cs="Calibri"/>
              </w:rPr>
            </w:pPr>
            <w:r w:rsidRPr="00FD2932">
              <w:rPr>
                <w:rFonts w:cs="Calibri"/>
              </w:rPr>
              <w:t>1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2</w:t>
            </w:r>
          </w:p>
        </w:tc>
        <w:tc>
          <w:tcPr>
            <w:tcW w:w="36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5</w:t>
            </w:r>
          </w:p>
        </w:tc>
        <w:tc>
          <w:tcPr>
            <w:tcW w:w="36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6</w:t>
            </w:r>
          </w:p>
        </w:tc>
        <w:tc>
          <w:tcPr>
            <w:tcW w:w="27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7</w:t>
            </w:r>
          </w:p>
        </w:tc>
        <w:tc>
          <w:tcPr>
            <w:tcW w:w="36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8</w:t>
            </w:r>
          </w:p>
        </w:tc>
        <w:tc>
          <w:tcPr>
            <w:tcW w:w="270" w:type="dxa"/>
            <w:vMerge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2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A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B</w:t>
            </w:r>
          </w:p>
        </w:tc>
        <w:tc>
          <w:tcPr>
            <w:tcW w:w="72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C</w:t>
            </w:r>
          </w:p>
        </w:tc>
        <w:tc>
          <w:tcPr>
            <w:tcW w:w="270" w:type="dxa"/>
            <w:vMerge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2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YES</w:t>
            </w:r>
          </w:p>
        </w:tc>
        <w:tc>
          <w:tcPr>
            <w:tcW w:w="270" w:type="dxa"/>
            <w:vMerge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996" w:type="dxa"/>
            <w:gridSpan w:val="10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No control group</w:t>
            </w:r>
          </w:p>
        </w:tc>
      </w:tr>
      <w:tr w:rsidR="00FD2932" w:rsidRPr="00FD2932" w:rsidTr="00510FDF">
        <w:trPr>
          <w:trHeight w:val="440"/>
        </w:trPr>
        <w:tc>
          <w:tcPr>
            <w:tcW w:w="35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D2932" w:rsidRPr="00FD2932" w:rsidRDefault="00FD2932" w:rsidP="00FD2932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 w:rsidRPr="00FD2932">
              <w:rPr>
                <w:rFonts w:cs="Calibri"/>
                <w:sz w:val="21"/>
                <w:szCs w:val="21"/>
              </w:rPr>
              <w:t>Schreiber, J, et al. (2009)</w:t>
            </w:r>
            <w:r>
              <w:rPr>
                <w:rFonts w:cs="Calibri"/>
                <w:sz w:val="21"/>
                <w:szCs w:val="21"/>
              </w:rPr>
              <w:t xml:space="preserve"> [9]</w:t>
            </w:r>
          </w:p>
        </w:tc>
        <w:tc>
          <w:tcPr>
            <w:tcW w:w="326" w:type="dxa"/>
            <w:tcBorders>
              <w:bottom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rPr>
                <w:rFonts w:cs="Calibri"/>
              </w:rPr>
            </w:pPr>
            <w:r w:rsidRPr="00FD2932">
              <w:rPr>
                <w:rFonts w:cs="Calibri"/>
              </w:rPr>
              <w:t>1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2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3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4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5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6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7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8</w:t>
            </w:r>
          </w:p>
        </w:tc>
        <w:tc>
          <w:tcPr>
            <w:tcW w:w="270" w:type="dxa"/>
            <w:vMerge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A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B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C</w:t>
            </w:r>
          </w:p>
        </w:tc>
        <w:tc>
          <w:tcPr>
            <w:tcW w:w="270" w:type="dxa"/>
            <w:vMerge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NO</w:t>
            </w:r>
          </w:p>
        </w:tc>
        <w:tc>
          <w:tcPr>
            <w:tcW w:w="270" w:type="dxa"/>
            <w:vMerge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996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No control group</w:t>
            </w:r>
          </w:p>
        </w:tc>
      </w:tr>
      <w:tr w:rsidR="00FD2932" w:rsidRPr="00FD2932" w:rsidTr="00510FDF">
        <w:trPr>
          <w:trHeight w:val="274"/>
        </w:trPr>
        <w:tc>
          <w:tcPr>
            <w:tcW w:w="1272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FD2932">
              <w:rPr>
                <w:rFonts w:cs="Calibri"/>
                <w:b/>
                <w:color w:val="FFFFFF"/>
              </w:rPr>
              <w:t xml:space="preserve">                                                       Physiotherapy &amp; Occupational Therapy Studies</w:t>
            </w:r>
          </w:p>
        </w:tc>
      </w:tr>
      <w:tr w:rsidR="00FD2932" w:rsidRPr="00FD2932" w:rsidTr="00510FDF">
        <w:trPr>
          <w:trHeight w:val="485"/>
        </w:trPr>
        <w:tc>
          <w:tcPr>
            <w:tcW w:w="3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FD2932" w:rsidRPr="00FD2932" w:rsidRDefault="00FD2932" w:rsidP="00FD2932">
            <w:pPr>
              <w:spacing w:after="0" w:line="240" w:lineRule="auto"/>
              <w:rPr>
                <w:rFonts w:cs="Calibri"/>
                <w:sz w:val="20"/>
                <w:szCs w:val="20"/>
                <w:lang w:val="fr-CA"/>
              </w:rPr>
            </w:pPr>
            <w:r w:rsidRPr="00FD2932">
              <w:rPr>
                <w:rFonts w:cs="Calibri"/>
                <w:sz w:val="20"/>
                <w:szCs w:val="20"/>
                <w:lang w:val="fr-CA"/>
              </w:rPr>
              <w:t>Nikopoulou-Smyrni, P, et al. (2007) [10]</w:t>
            </w: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rPr>
                <w:rFonts w:cs="Calibri"/>
              </w:rPr>
            </w:pPr>
            <w:r w:rsidRPr="00FD2932">
              <w:rPr>
                <w:rFonts w:cs="Calibri"/>
              </w:rPr>
              <w:t>1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3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6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8</w:t>
            </w:r>
          </w:p>
        </w:tc>
        <w:tc>
          <w:tcPr>
            <w:tcW w:w="270" w:type="dxa"/>
            <w:vMerge w:val="restart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B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C</w:t>
            </w:r>
          </w:p>
        </w:tc>
        <w:tc>
          <w:tcPr>
            <w:tcW w:w="270" w:type="dxa"/>
            <w:vMerge w:val="restart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NO</w:t>
            </w:r>
          </w:p>
        </w:tc>
        <w:tc>
          <w:tcPr>
            <w:tcW w:w="270" w:type="dxa"/>
            <w:vMerge w:val="restart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2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3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rPr>
                <w:rFonts w:cs="Calibri"/>
              </w:rPr>
            </w:pPr>
            <w:r w:rsidRPr="00FD2932">
              <w:rPr>
                <w:rFonts w:cs="Calibri"/>
              </w:rPr>
              <w:t>4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5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6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7</w:t>
            </w: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8</w:t>
            </w:r>
          </w:p>
        </w:tc>
      </w:tr>
      <w:tr w:rsidR="00FD2932" w:rsidRPr="00FD2932" w:rsidTr="00510FDF">
        <w:trPr>
          <w:trHeight w:val="440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D2932" w:rsidRPr="00FD2932" w:rsidRDefault="00FD2932" w:rsidP="00FD2932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 w:rsidRPr="00FD2932">
              <w:rPr>
                <w:rFonts w:cs="Calibri"/>
                <w:sz w:val="21"/>
                <w:szCs w:val="21"/>
              </w:rPr>
              <w:t>Tripicchio, B, et al. (2009)</w:t>
            </w:r>
            <w:r>
              <w:rPr>
                <w:rFonts w:cs="Calibri"/>
                <w:sz w:val="21"/>
                <w:szCs w:val="21"/>
              </w:rPr>
              <w:t xml:space="preserve"> [11]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1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3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8</w:t>
            </w:r>
          </w:p>
        </w:tc>
        <w:tc>
          <w:tcPr>
            <w:tcW w:w="270" w:type="dxa"/>
            <w:vMerge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B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C</w:t>
            </w:r>
          </w:p>
        </w:tc>
        <w:tc>
          <w:tcPr>
            <w:tcW w:w="270" w:type="dxa"/>
            <w:vMerge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NO</w:t>
            </w:r>
          </w:p>
        </w:tc>
        <w:tc>
          <w:tcPr>
            <w:tcW w:w="270" w:type="dxa"/>
            <w:vMerge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99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No control group</w:t>
            </w:r>
          </w:p>
        </w:tc>
      </w:tr>
      <w:tr w:rsidR="00FD2932" w:rsidRPr="00FD2932" w:rsidTr="00510FDF">
        <w:trPr>
          <w:trHeight w:val="274"/>
        </w:trPr>
        <w:tc>
          <w:tcPr>
            <w:tcW w:w="12724" w:type="dxa"/>
            <w:gridSpan w:val="26"/>
            <w:tcBorders>
              <w:top w:val="single" w:sz="4" w:space="0" w:color="auto"/>
            </w:tcBorders>
            <w:shd w:val="clear" w:color="auto" w:fill="8080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b/>
              </w:rPr>
            </w:pPr>
            <w:r w:rsidRPr="00FD2932">
              <w:rPr>
                <w:b/>
                <w:color w:val="FFFFFF"/>
              </w:rPr>
              <w:t xml:space="preserve">                                                 Occupational Therapy Studies</w:t>
            </w:r>
          </w:p>
        </w:tc>
      </w:tr>
      <w:tr w:rsidR="00FD2932" w:rsidRPr="00FD2932" w:rsidTr="00510FDF">
        <w:trPr>
          <w:trHeight w:val="422"/>
        </w:trPr>
        <w:tc>
          <w:tcPr>
            <w:tcW w:w="3562" w:type="dxa"/>
            <w:shd w:val="clear" w:color="auto" w:fill="D9D9D9" w:themeFill="background1" w:themeFillShade="D9"/>
          </w:tcPr>
          <w:p w:rsidR="00FD2932" w:rsidRPr="00FD2932" w:rsidRDefault="00FD2932" w:rsidP="00FD2932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 w:rsidRPr="00FD2932">
              <w:rPr>
                <w:rFonts w:cs="Calibri"/>
                <w:sz w:val="21"/>
                <w:szCs w:val="21"/>
              </w:rPr>
              <w:t>McCluskey, A, et al.  (2005)</w:t>
            </w:r>
            <w:r>
              <w:rPr>
                <w:rFonts w:cs="Calibri"/>
                <w:sz w:val="21"/>
                <w:szCs w:val="21"/>
              </w:rPr>
              <w:t xml:space="preserve"> [12]</w:t>
            </w:r>
          </w:p>
        </w:tc>
        <w:tc>
          <w:tcPr>
            <w:tcW w:w="326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1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2</w:t>
            </w:r>
          </w:p>
        </w:tc>
        <w:tc>
          <w:tcPr>
            <w:tcW w:w="36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4</w:t>
            </w:r>
          </w:p>
        </w:tc>
        <w:tc>
          <w:tcPr>
            <w:tcW w:w="36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5</w:t>
            </w:r>
          </w:p>
        </w:tc>
        <w:tc>
          <w:tcPr>
            <w:tcW w:w="36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6</w:t>
            </w:r>
          </w:p>
        </w:tc>
        <w:tc>
          <w:tcPr>
            <w:tcW w:w="27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7</w:t>
            </w:r>
          </w:p>
        </w:tc>
        <w:tc>
          <w:tcPr>
            <w:tcW w:w="36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8</w:t>
            </w:r>
          </w:p>
        </w:tc>
        <w:tc>
          <w:tcPr>
            <w:tcW w:w="270" w:type="dxa"/>
            <w:vMerge w:val="restart"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2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A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B</w:t>
            </w:r>
          </w:p>
        </w:tc>
        <w:tc>
          <w:tcPr>
            <w:tcW w:w="72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C</w:t>
            </w:r>
          </w:p>
        </w:tc>
        <w:tc>
          <w:tcPr>
            <w:tcW w:w="270" w:type="dxa"/>
            <w:vMerge w:val="restart"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2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NO</w:t>
            </w:r>
          </w:p>
        </w:tc>
        <w:tc>
          <w:tcPr>
            <w:tcW w:w="270" w:type="dxa"/>
            <w:vMerge w:val="restart"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996" w:type="dxa"/>
            <w:gridSpan w:val="10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No control group</w:t>
            </w:r>
          </w:p>
        </w:tc>
      </w:tr>
      <w:tr w:rsidR="00FD2932" w:rsidRPr="00FD2932" w:rsidTr="00510FDF">
        <w:trPr>
          <w:trHeight w:val="440"/>
        </w:trPr>
        <w:tc>
          <w:tcPr>
            <w:tcW w:w="35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D2932" w:rsidRPr="00FD2932" w:rsidRDefault="00FD2932" w:rsidP="00FD2932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 w:rsidRPr="00FD2932">
              <w:rPr>
                <w:rFonts w:cs="Calibri"/>
                <w:sz w:val="21"/>
                <w:szCs w:val="21"/>
              </w:rPr>
              <w:t>Hammond, A, et al. (2005)</w:t>
            </w:r>
            <w:r>
              <w:rPr>
                <w:rFonts w:cs="Calibri"/>
                <w:sz w:val="21"/>
                <w:szCs w:val="21"/>
              </w:rPr>
              <w:t xml:space="preserve"> [13]</w:t>
            </w:r>
          </w:p>
        </w:tc>
        <w:tc>
          <w:tcPr>
            <w:tcW w:w="3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1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rPr>
                <w:rFonts w:cs="Calibri"/>
              </w:rPr>
            </w:pPr>
            <w:r w:rsidRPr="00FD2932">
              <w:rPr>
                <w:rFonts w:cs="Calibri"/>
              </w:rPr>
              <w:t>2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3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4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5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6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7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8</w:t>
            </w:r>
          </w:p>
        </w:tc>
        <w:tc>
          <w:tcPr>
            <w:tcW w:w="270" w:type="dxa"/>
            <w:vMerge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A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B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C</w:t>
            </w:r>
          </w:p>
        </w:tc>
        <w:tc>
          <w:tcPr>
            <w:tcW w:w="270" w:type="dxa"/>
            <w:vMerge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NO</w:t>
            </w:r>
          </w:p>
        </w:tc>
        <w:tc>
          <w:tcPr>
            <w:tcW w:w="270" w:type="dxa"/>
            <w:vMerge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996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No control group</w:t>
            </w:r>
          </w:p>
        </w:tc>
      </w:tr>
      <w:tr w:rsidR="00FD2932" w:rsidRPr="00FD2932" w:rsidTr="00510FDF">
        <w:trPr>
          <w:trHeight w:val="440"/>
        </w:trPr>
        <w:tc>
          <w:tcPr>
            <w:tcW w:w="35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D2932" w:rsidRPr="00FD2932" w:rsidRDefault="00FD2932" w:rsidP="00FD2932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 w:rsidRPr="00FD2932">
              <w:rPr>
                <w:rFonts w:cs="Calibri"/>
                <w:sz w:val="21"/>
                <w:szCs w:val="21"/>
              </w:rPr>
              <w:t xml:space="preserve">McKenna, K, et al. (2005) </w:t>
            </w:r>
            <w:r>
              <w:rPr>
                <w:rFonts w:cs="Calibri"/>
                <w:sz w:val="21"/>
                <w:szCs w:val="21"/>
              </w:rPr>
              <w:t>[14]</w:t>
            </w:r>
          </w:p>
        </w:tc>
        <w:tc>
          <w:tcPr>
            <w:tcW w:w="326" w:type="dxa"/>
            <w:tcBorders>
              <w:bottom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1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rPr>
                <w:rFonts w:cs="Calibri"/>
              </w:rPr>
            </w:pPr>
            <w:r w:rsidRPr="00FD2932">
              <w:rPr>
                <w:rFonts w:cs="Calibri"/>
              </w:rPr>
              <w:t>2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3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4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5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6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7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8</w:t>
            </w:r>
          </w:p>
        </w:tc>
        <w:tc>
          <w:tcPr>
            <w:tcW w:w="270" w:type="dxa"/>
            <w:vMerge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A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B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C</w:t>
            </w:r>
          </w:p>
        </w:tc>
        <w:tc>
          <w:tcPr>
            <w:tcW w:w="270" w:type="dxa"/>
            <w:vMerge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YES</w:t>
            </w:r>
          </w:p>
        </w:tc>
        <w:tc>
          <w:tcPr>
            <w:tcW w:w="270" w:type="dxa"/>
            <w:vMerge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996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No control group</w:t>
            </w:r>
          </w:p>
        </w:tc>
      </w:tr>
      <w:tr w:rsidR="00FD2932" w:rsidRPr="00FD2932" w:rsidTr="00510FDF">
        <w:trPr>
          <w:trHeight w:val="440"/>
        </w:trPr>
        <w:tc>
          <w:tcPr>
            <w:tcW w:w="35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D2932" w:rsidRPr="00FD2932" w:rsidRDefault="00FD2932" w:rsidP="00FD2932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 w:rsidRPr="00FD2932">
              <w:rPr>
                <w:rFonts w:cs="Calibri"/>
                <w:sz w:val="21"/>
                <w:szCs w:val="21"/>
              </w:rPr>
              <w:t>Vachon, B, et al. (2009)</w:t>
            </w:r>
            <w:r>
              <w:rPr>
                <w:rFonts w:cs="Calibri"/>
                <w:sz w:val="21"/>
                <w:szCs w:val="21"/>
              </w:rPr>
              <w:t xml:space="preserve"> [15]</w:t>
            </w:r>
          </w:p>
        </w:tc>
        <w:tc>
          <w:tcPr>
            <w:tcW w:w="3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1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rPr>
                <w:rFonts w:cs="Calibri"/>
              </w:rPr>
            </w:pPr>
            <w:r w:rsidRPr="00FD2932">
              <w:rPr>
                <w:rFonts w:cs="Calibri"/>
              </w:rPr>
              <w:t>2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3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4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5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6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7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8</w:t>
            </w:r>
          </w:p>
        </w:tc>
        <w:tc>
          <w:tcPr>
            <w:tcW w:w="270" w:type="dxa"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A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B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C</w:t>
            </w:r>
          </w:p>
        </w:tc>
        <w:tc>
          <w:tcPr>
            <w:tcW w:w="270" w:type="dxa"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NO</w:t>
            </w:r>
          </w:p>
        </w:tc>
        <w:tc>
          <w:tcPr>
            <w:tcW w:w="270" w:type="dxa"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996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No control group</w:t>
            </w:r>
          </w:p>
        </w:tc>
      </w:tr>
      <w:tr w:rsidR="00FD2932" w:rsidRPr="00FD2932" w:rsidTr="00510FDF">
        <w:trPr>
          <w:trHeight w:val="259"/>
        </w:trPr>
        <w:tc>
          <w:tcPr>
            <w:tcW w:w="12724" w:type="dxa"/>
            <w:gridSpan w:val="26"/>
            <w:tcBorders>
              <w:top w:val="single" w:sz="4" w:space="0" w:color="auto"/>
            </w:tcBorders>
            <w:shd w:val="clear" w:color="auto" w:fill="8080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b/>
              </w:rPr>
            </w:pPr>
            <w:r w:rsidRPr="00FD2932">
              <w:rPr>
                <w:b/>
                <w:color w:val="FFFFFF"/>
              </w:rPr>
              <w:t xml:space="preserve">                                                        Speech-Language Pathology Studies</w:t>
            </w:r>
          </w:p>
        </w:tc>
      </w:tr>
      <w:tr w:rsidR="00FD2932" w:rsidRPr="00FD2932" w:rsidTr="00510FDF">
        <w:trPr>
          <w:trHeight w:val="440"/>
        </w:trPr>
        <w:tc>
          <w:tcPr>
            <w:tcW w:w="3562" w:type="dxa"/>
            <w:shd w:val="clear" w:color="auto" w:fill="D9D9D9" w:themeFill="background1" w:themeFillShade="D9"/>
          </w:tcPr>
          <w:p w:rsidR="00FD2932" w:rsidRPr="00FD2932" w:rsidRDefault="00FD2932" w:rsidP="00FD2932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 w:rsidRPr="00FD2932">
              <w:rPr>
                <w:rFonts w:cs="Calibri"/>
                <w:sz w:val="21"/>
                <w:szCs w:val="21"/>
              </w:rPr>
              <w:lastRenderedPageBreak/>
              <w:t>Pennington, L, et al. (2005)</w:t>
            </w:r>
            <w:r>
              <w:rPr>
                <w:rFonts w:cs="Calibri"/>
                <w:sz w:val="21"/>
                <w:szCs w:val="21"/>
              </w:rPr>
              <w:t xml:space="preserve"> [16]</w:t>
            </w:r>
          </w:p>
        </w:tc>
        <w:tc>
          <w:tcPr>
            <w:tcW w:w="326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1</w:t>
            </w:r>
          </w:p>
        </w:tc>
        <w:tc>
          <w:tcPr>
            <w:tcW w:w="27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2</w:t>
            </w:r>
          </w:p>
        </w:tc>
        <w:tc>
          <w:tcPr>
            <w:tcW w:w="36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4</w:t>
            </w:r>
          </w:p>
        </w:tc>
        <w:tc>
          <w:tcPr>
            <w:tcW w:w="36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5</w:t>
            </w:r>
          </w:p>
        </w:tc>
        <w:tc>
          <w:tcPr>
            <w:tcW w:w="36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6</w:t>
            </w:r>
          </w:p>
        </w:tc>
        <w:tc>
          <w:tcPr>
            <w:tcW w:w="27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7</w:t>
            </w:r>
          </w:p>
        </w:tc>
        <w:tc>
          <w:tcPr>
            <w:tcW w:w="36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8</w:t>
            </w:r>
          </w:p>
        </w:tc>
        <w:tc>
          <w:tcPr>
            <w:tcW w:w="270" w:type="dxa"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2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A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B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C</w:t>
            </w:r>
          </w:p>
        </w:tc>
        <w:tc>
          <w:tcPr>
            <w:tcW w:w="270" w:type="dxa"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20" w:type="dxa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NO</w:t>
            </w:r>
          </w:p>
        </w:tc>
        <w:tc>
          <w:tcPr>
            <w:tcW w:w="270" w:type="dxa"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996" w:type="dxa"/>
            <w:gridSpan w:val="10"/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No control group</w:t>
            </w:r>
          </w:p>
        </w:tc>
      </w:tr>
      <w:tr w:rsidR="00FD2932" w:rsidRPr="00FD2932" w:rsidTr="00510FDF">
        <w:trPr>
          <w:trHeight w:val="440"/>
        </w:trPr>
        <w:tc>
          <w:tcPr>
            <w:tcW w:w="35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D2932" w:rsidRPr="00FD2932" w:rsidRDefault="00FD2932" w:rsidP="00FD2932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 w:rsidRPr="00FD2932">
              <w:rPr>
                <w:rFonts w:cs="Calibri"/>
                <w:sz w:val="21"/>
                <w:szCs w:val="21"/>
              </w:rPr>
              <w:t>Molfenter, S, et al. (2009)</w:t>
            </w:r>
            <w:r>
              <w:rPr>
                <w:rFonts w:cs="Calibri"/>
                <w:sz w:val="21"/>
                <w:szCs w:val="21"/>
              </w:rPr>
              <w:t xml:space="preserve"> [17] </w:t>
            </w:r>
          </w:p>
        </w:tc>
        <w:tc>
          <w:tcPr>
            <w:tcW w:w="3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1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2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3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4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5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6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7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8</w:t>
            </w:r>
          </w:p>
        </w:tc>
        <w:tc>
          <w:tcPr>
            <w:tcW w:w="270" w:type="dxa"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A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B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C</w:t>
            </w:r>
          </w:p>
        </w:tc>
        <w:tc>
          <w:tcPr>
            <w:tcW w:w="270" w:type="dxa"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NO</w:t>
            </w:r>
          </w:p>
        </w:tc>
        <w:tc>
          <w:tcPr>
            <w:tcW w:w="270" w:type="dxa"/>
            <w:shd w:val="clear" w:color="auto" w:fill="808080" w:themeFill="background1" w:themeFillShade="80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996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FD2932" w:rsidRPr="00FD2932" w:rsidRDefault="00FD2932" w:rsidP="00FD2932">
            <w:pPr>
              <w:spacing w:after="0" w:line="240" w:lineRule="auto"/>
              <w:jc w:val="center"/>
              <w:rPr>
                <w:rFonts w:cs="Calibri"/>
              </w:rPr>
            </w:pPr>
            <w:r w:rsidRPr="00FD2932">
              <w:rPr>
                <w:rFonts w:cs="Calibri"/>
              </w:rPr>
              <w:t>No control group</w:t>
            </w:r>
          </w:p>
        </w:tc>
      </w:tr>
    </w:tbl>
    <w:p w:rsidR="00FD2932" w:rsidRDefault="00FD2932"/>
    <w:p w:rsidR="00FD2932" w:rsidRPr="00FD2932" w:rsidRDefault="00FD2932" w:rsidP="00FD2932"/>
    <w:p w:rsidR="00FD2932" w:rsidRDefault="00FD2932" w:rsidP="00FD2932">
      <w:pPr>
        <w:pBdr>
          <w:bottom w:val="single" w:sz="4" w:space="1" w:color="auto"/>
        </w:pBdr>
        <w:spacing w:after="0" w:line="240" w:lineRule="auto"/>
        <w:rPr>
          <w:rFonts w:ascii="Calibri" w:hAnsi="Calibri"/>
          <w:b/>
          <w:sz w:val="24"/>
          <w:szCs w:val="24"/>
        </w:rPr>
      </w:pPr>
    </w:p>
    <w:p w:rsidR="00FD2932" w:rsidRPr="00BA4A2A" w:rsidRDefault="00FD2932" w:rsidP="00FD2932">
      <w:pPr>
        <w:pBdr>
          <w:bottom w:val="single" w:sz="4" w:space="1" w:color="auto"/>
        </w:pBdr>
        <w:spacing w:after="0" w:line="240" w:lineRule="auto"/>
        <w:rPr>
          <w:rFonts w:ascii="Calibri" w:hAnsi="Calibri"/>
          <w:b/>
          <w:sz w:val="24"/>
          <w:szCs w:val="24"/>
        </w:rPr>
      </w:pPr>
      <w:r w:rsidRPr="00BA4A2A">
        <w:rPr>
          <w:rFonts w:ascii="Calibri" w:hAnsi="Calibri"/>
          <w:b/>
          <w:sz w:val="24"/>
          <w:szCs w:val="24"/>
        </w:rPr>
        <w:t>Legend</w:t>
      </w:r>
    </w:p>
    <w:p w:rsidR="00FD2932" w:rsidRPr="00BA4A2A" w:rsidRDefault="00FD2932" w:rsidP="00FD2932">
      <w:pPr>
        <w:spacing w:after="0" w:line="240" w:lineRule="auto"/>
        <w:rPr>
          <w:rFonts w:ascii="Calibri" w:hAnsi="Calibri"/>
          <w:sz w:val="24"/>
          <w:szCs w:val="24"/>
        </w:rPr>
      </w:pPr>
      <w:r w:rsidRPr="00BA4A2A">
        <w:rPr>
          <w:rFonts w:ascii="Calibri" w:hAnsi="Calibri"/>
          <w:sz w:val="24"/>
          <w:szCs w:val="24"/>
        </w:rPr>
        <w:t>*</w:t>
      </w:r>
      <w:r w:rsidRPr="00BA4A2A">
        <w:rPr>
          <w:rFonts w:ascii="Calibri" w:hAnsi="Calibri"/>
          <w:color w:val="8064A2" w:themeColor="accent4"/>
          <w:sz w:val="24"/>
          <w:szCs w:val="24"/>
        </w:rPr>
        <w:t xml:space="preserve"> </w:t>
      </w:r>
      <w:r w:rsidRPr="00BA4A2A">
        <w:rPr>
          <w:rFonts w:ascii="Calibri" w:hAnsi="Calibri"/>
          <w:sz w:val="24"/>
          <w:szCs w:val="24"/>
        </w:rPr>
        <w:t>= articles related to same research study</w:t>
      </w:r>
    </w:p>
    <w:p w:rsidR="00FD2932" w:rsidRPr="00BA4A2A" w:rsidRDefault="00FD2932" w:rsidP="00FD2932">
      <w:pPr>
        <w:spacing w:after="0" w:line="240" w:lineRule="auto"/>
        <w:rPr>
          <w:rFonts w:ascii="Calibri" w:hAnsi="Calibri"/>
          <w:sz w:val="24"/>
          <w:szCs w:val="24"/>
        </w:rPr>
      </w:pPr>
      <w:r w:rsidRPr="00BA4A2A">
        <w:rPr>
          <w:rFonts w:ascii="Calibri" w:hAnsi="Calibri"/>
          <w:sz w:val="24"/>
          <w:szCs w:val="24"/>
          <w:shd w:val="clear" w:color="auto" w:fill="BFBFBF" w:themeFill="background1" w:themeFillShade="BF"/>
        </w:rPr>
        <w:t>Grey</w:t>
      </w:r>
      <w:r w:rsidRPr="00BA4A2A">
        <w:rPr>
          <w:rFonts w:ascii="Calibri" w:hAnsi="Calibri"/>
          <w:sz w:val="24"/>
          <w:szCs w:val="24"/>
        </w:rPr>
        <w:t xml:space="preserve"> = supplementary recommendation met</w:t>
      </w:r>
    </w:p>
    <w:p w:rsidR="00FD2932" w:rsidRPr="00BA4A2A" w:rsidRDefault="00FD2932" w:rsidP="00FD2932">
      <w:pPr>
        <w:spacing w:after="0" w:line="240" w:lineRule="auto"/>
        <w:rPr>
          <w:rFonts w:ascii="Calibri" w:hAnsi="Calibri"/>
          <w:sz w:val="24"/>
          <w:szCs w:val="24"/>
        </w:rPr>
      </w:pPr>
      <w:r w:rsidRPr="00BA4A2A">
        <w:rPr>
          <w:rFonts w:ascii="Calibri" w:hAnsi="Calibri"/>
          <w:sz w:val="24"/>
          <w:szCs w:val="24"/>
        </w:rPr>
        <w:t>White = supplementary recommendation not met</w:t>
      </w:r>
    </w:p>
    <w:p w:rsidR="00FD2932" w:rsidRPr="00BA4A2A" w:rsidRDefault="00FD2932" w:rsidP="00FD2932">
      <w:pPr>
        <w:spacing w:after="0" w:line="240" w:lineRule="auto"/>
        <w:rPr>
          <w:rFonts w:ascii="Calibri" w:hAnsi="Calibri"/>
          <w:sz w:val="24"/>
          <w:szCs w:val="24"/>
        </w:rPr>
      </w:pPr>
      <w:r w:rsidRPr="00BA4A2A">
        <w:rPr>
          <w:rFonts w:ascii="Calibri" w:hAnsi="Calibri"/>
          <w:sz w:val="24"/>
          <w:szCs w:val="24"/>
        </w:rPr>
        <w:t>Recommendations #1 &amp; #4:</w:t>
      </w:r>
    </w:p>
    <w:p w:rsidR="00FD2932" w:rsidRPr="00BA4A2A" w:rsidRDefault="00FD2932" w:rsidP="00FD2932">
      <w:pPr>
        <w:spacing w:after="0" w:line="240" w:lineRule="auto"/>
        <w:ind w:left="720"/>
        <w:rPr>
          <w:rFonts w:ascii="Calibri" w:hAnsi="Calibri"/>
          <w:sz w:val="24"/>
          <w:szCs w:val="24"/>
        </w:rPr>
      </w:pPr>
      <w:r w:rsidRPr="00BA4A2A">
        <w:rPr>
          <w:rFonts w:ascii="Calibri" w:hAnsi="Calibri"/>
          <w:sz w:val="24"/>
          <w:szCs w:val="24"/>
        </w:rPr>
        <w:t>1) Characteristics of those delivering the intervention/control condition</w:t>
      </w:r>
    </w:p>
    <w:p w:rsidR="00FD2932" w:rsidRPr="00BA4A2A" w:rsidRDefault="00FD2932" w:rsidP="00FD2932">
      <w:pPr>
        <w:spacing w:after="0" w:line="240" w:lineRule="auto"/>
        <w:ind w:left="720"/>
        <w:rPr>
          <w:rFonts w:ascii="Calibri" w:hAnsi="Calibri"/>
          <w:sz w:val="24"/>
          <w:szCs w:val="24"/>
        </w:rPr>
      </w:pPr>
      <w:r w:rsidRPr="00BA4A2A">
        <w:rPr>
          <w:rFonts w:ascii="Calibri" w:hAnsi="Calibri"/>
          <w:sz w:val="24"/>
          <w:szCs w:val="24"/>
        </w:rPr>
        <w:t>2) Characteristics of the recipients</w:t>
      </w:r>
    </w:p>
    <w:p w:rsidR="00FD2932" w:rsidRPr="00BA4A2A" w:rsidRDefault="00FD2932" w:rsidP="00FD2932">
      <w:pPr>
        <w:spacing w:after="0" w:line="240" w:lineRule="auto"/>
        <w:ind w:left="720"/>
        <w:rPr>
          <w:rFonts w:ascii="Calibri" w:hAnsi="Calibri"/>
          <w:sz w:val="24"/>
          <w:szCs w:val="24"/>
        </w:rPr>
      </w:pPr>
      <w:r w:rsidRPr="00BA4A2A">
        <w:rPr>
          <w:rFonts w:ascii="Calibri" w:hAnsi="Calibri"/>
          <w:sz w:val="24"/>
          <w:szCs w:val="24"/>
        </w:rPr>
        <w:t>3) Setting</w:t>
      </w:r>
    </w:p>
    <w:p w:rsidR="00FD2932" w:rsidRPr="00BA4A2A" w:rsidRDefault="00FD2932" w:rsidP="00FD2932">
      <w:pPr>
        <w:spacing w:after="0" w:line="240" w:lineRule="auto"/>
        <w:ind w:left="720"/>
        <w:rPr>
          <w:rFonts w:ascii="Calibri" w:hAnsi="Calibri"/>
          <w:sz w:val="24"/>
          <w:szCs w:val="24"/>
        </w:rPr>
      </w:pPr>
      <w:r w:rsidRPr="00BA4A2A">
        <w:rPr>
          <w:rFonts w:ascii="Calibri" w:hAnsi="Calibri"/>
          <w:sz w:val="24"/>
          <w:szCs w:val="24"/>
        </w:rPr>
        <w:t>4) Mode of delivery</w:t>
      </w:r>
    </w:p>
    <w:p w:rsidR="00FD2932" w:rsidRPr="00BA4A2A" w:rsidRDefault="00FD2932" w:rsidP="00FD2932">
      <w:pPr>
        <w:spacing w:after="0" w:line="240" w:lineRule="auto"/>
        <w:ind w:left="720"/>
        <w:rPr>
          <w:rFonts w:ascii="Calibri" w:hAnsi="Calibri"/>
          <w:sz w:val="24"/>
          <w:szCs w:val="24"/>
        </w:rPr>
      </w:pPr>
      <w:r w:rsidRPr="00BA4A2A">
        <w:rPr>
          <w:rFonts w:ascii="Calibri" w:hAnsi="Calibri"/>
          <w:sz w:val="24"/>
          <w:szCs w:val="24"/>
        </w:rPr>
        <w:t>5) Intensity</w:t>
      </w:r>
    </w:p>
    <w:p w:rsidR="00FD2932" w:rsidRPr="00BA4A2A" w:rsidRDefault="00FD2932" w:rsidP="00FD2932">
      <w:pPr>
        <w:spacing w:after="0" w:line="240" w:lineRule="auto"/>
        <w:ind w:left="720"/>
        <w:rPr>
          <w:rFonts w:ascii="Calibri" w:hAnsi="Calibri"/>
          <w:sz w:val="24"/>
          <w:szCs w:val="24"/>
        </w:rPr>
      </w:pPr>
      <w:r w:rsidRPr="00BA4A2A">
        <w:rPr>
          <w:rFonts w:ascii="Calibri" w:hAnsi="Calibri"/>
          <w:sz w:val="24"/>
          <w:szCs w:val="24"/>
        </w:rPr>
        <w:t>6) Duration</w:t>
      </w:r>
    </w:p>
    <w:p w:rsidR="00FD2932" w:rsidRPr="00BA4A2A" w:rsidRDefault="00FD2932" w:rsidP="00FD2932">
      <w:pPr>
        <w:spacing w:after="0" w:line="240" w:lineRule="auto"/>
        <w:ind w:left="720"/>
        <w:rPr>
          <w:rFonts w:ascii="Calibri" w:hAnsi="Calibri"/>
          <w:sz w:val="24"/>
          <w:szCs w:val="24"/>
        </w:rPr>
      </w:pPr>
      <w:r w:rsidRPr="00BA4A2A">
        <w:rPr>
          <w:rFonts w:ascii="Calibri" w:hAnsi="Calibri"/>
          <w:sz w:val="24"/>
          <w:szCs w:val="24"/>
        </w:rPr>
        <w:t>7) Adherence/ fidelity to delivery protocols</w:t>
      </w:r>
    </w:p>
    <w:p w:rsidR="00FD2932" w:rsidRPr="00BA4A2A" w:rsidRDefault="00FD2932" w:rsidP="00FD2932">
      <w:pPr>
        <w:spacing w:after="0" w:line="240" w:lineRule="auto"/>
        <w:ind w:left="720"/>
        <w:rPr>
          <w:rFonts w:ascii="Calibri" w:hAnsi="Calibri"/>
          <w:sz w:val="24"/>
          <w:szCs w:val="24"/>
        </w:rPr>
      </w:pPr>
      <w:r w:rsidRPr="00BA4A2A">
        <w:rPr>
          <w:rFonts w:ascii="Calibri" w:hAnsi="Calibri"/>
          <w:sz w:val="24"/>
          <w:szCs w:val="24"/>
        </w:rPr>
        <w:t>8) Detailed description of the intervention/control condition</w:t>
      </w:r>
    </w:p>
    <w:p w:rsidR="00FD2932" w:rsidRPr="00BA4A2A" w:rsidRDefault="00FD2932" w:rsidP="00FD2932">
      <w:pPr>
        <w:spacing w:after="0" w:line="240" w:lineRule="auto"/>
        <w:rPr>
          <w:rFonts w:ascii="Calibri" w:hAnsi="Calibri"/>
          <w:sz w:val="24"/>
          <w:szCs w:val="24"/>
        </w:rPr>
      </w:pPr>
      <w:r w:rsidRPr="00BA4A2A">
        <w:rPr>
          <w:rFonts w:ascii="Calibri" w:hAnsi="Calibri"/>
          <w:sz w:val="24"/>
          <w:szCs w:val="24"/>
        </w:rPr>
        <w:t>Recommendation #2:</w:t>
      </w:r>
    </w:p>
    <w:p w:rsidR="00FD2932" w:rsidRPr="00BA4A2A" w:rsidRDefault="00FD2932" w:rsidP="00FD2932">
      <w:pPr>
        <w:spacing w:after="0" w:line="240" w:lineRule="auto"/>
        <w:ind w:left="720"/>
        <w:rPr>
          <w:rFonts w:ascii="Calibri" w:hAnsi="Calibri"/>
          <w:sz w:val="24"/>
          <w:szCs w:val="24"/>
        </w:rPr>
      </w:pPr>
      <w:r w:rsidRPr="00BA4A2A">
        <w:rPr>
          <w:rFonts w:ascii="Calibri" w:hAnsi="Calibri"/>
          <w:sz w:val="24"/>
          <w:szCs w:val="24"/>
        </w:rPr>
        <w:t>A) Intervention development described</w:t>
      </w:r>
    </w:p>
    <w:p w:rsidR="00FD2932" w:rsidRPr="00BA4A2A" w:rsidRDefault="00FD2932" w:rsidP="00FD2932">
      <w:pPr>
        <w:spacing w:after="0" w:line="240" w:lineRule="auto"/>
        <w:ind w:left="720"/>
        <w:rPr>
          <w:rFonts w:ascii="Calibri" w:hAnsi="Calibri"/>
          <w:sz w:val="24"/>
          <w:szCs w:val="24"/>
        </w:rPr>
      </w:pPr>
      <w:r w:rsidRPr="00BA4A2A">
        <w:rPr>
          <w:rFonts w:ascii="Calibri" w:hAnsi="Calibri"/>
          <w:sz w:val="24"/>
          <w:szCs w:val="24"/>
        </w:rPr>
        <w:t>B) Change techniques employed in intervention identified and described</w:t>
      </w:r>
    </w:p>
    <w:p w:rsidR="00FD2932" w:rsidRDefault="00FD2932" w:rsidP="00FD2932">
      <w:pPr>
        <w:rPr>
          <w:rFonts w:ascii="Calibri" w:hAnsi="Calibri"/>
          <w:sz w:val="24"/>
          <w:szCs w:val="24"/>
        </w:rPr>
      </w:pPr>
      <w:r w:rsidRPr="00BA4A2A">
        <w:rPr>
          <w:rFonts w:ascii="Calibri" w:hAnsi="Calibri"/>
          <w:sz w:val="24"/>
          <w:szCs w:val="24"/>
        </w:rPr>
        <w:t>C) Causal processes targetted by change techniques identified and described</w:t>
      </w:r>
    </w:p>
    <w:p w:rsidR="00FD2932" w:rsidRDefault="00FD2932" w:rsidP="00FD2932">
      <w:pPr>
        <w:rPr>
          <w:rFonts w:ascii="Calibri" w:hAnsi="Calibri"/>
          <w:sz w:val="24"/>
          <w:szCs w:val="24"/>
        </w:rPr>
      </w:pPr>
    </w:p>
    <w:p w:rsidR="00FD2932" w:rsidRDefault="00FD2932" w:rsidP="00FD2932">
      <w:pPr>
        <w:rPr>
          <w:rFonts w:ascii="Calibri" w:hAnsi="Calibri"/>
          <w:sz w:val="24"/>
          <w:szCs w:val="24"/>
        </w:rPr>
      </w:pPr>
    </w:p>
    <w:p w:rsidR="00FD2932" w:rsidRDefault="00FD2932" w:rsidP="00FD2932">
      <w:pPr>
        <w:rPr>
          <w:rFonts w:ascii="Calibri" w:hAnsi="Calibri"/>
          <w:sz w:val="24"/>
          <w:szCs w:val="24"/>
        </w:rPr>
      </w:pPr>
    </w:p>
    <w:p w:rsidR="00FD2932" w:rsidRDefault="00FD2932" w:rsidP="00FD2932">
      <w:pPr>
        <w:rPr>
          <w:rFonts w:ascii="Calibri" w:hAnsi="Calibri"/>
          <w:sz w:val="24"/>
          <w:szCs w:val="24"/>
        </w:rPr>
      </w:pPr>
    </w:p>
    <w:p w:rsidR="00FD2932" w:rsidRDefault="00FD2932" w:rsidP="00FD2932">
      <w:pPr>
        <w:rPr>
          <w:rFonts w:ascii="Calibri" w:hAnsi="Calibri"/>
          <w:sz w:val="24"/>
          <w:szCs w:val="24"/>
        </w:rPr>
      </w:pPr>
    </w:p>
    <w:p w:rsidR="00FD2932" w:rsidRDefault="00FD2932" w:rsidP="00FD2932">
      <w:pPr>
        <w:rPr>
          <w:rFonts w:ascii="Calibri" w:hAnsi="Calibri"/>
          <w:sz w:val="24"/>
          <w:szCs w:val="24"/>
        </w:rPr>
      </w:pPr>
    </w:p>
    <w:p w:rsidR="00FD2932" w:rsidRDefault="00FD2932" w:rsidP="00FD2932">
      <w:pPr>
        <w:rPr>
          <w:rFonts w:ascii="Calibri" w:hAnsi="Calibri"/>
          <w:sz w:val="24"/>
          <w:szCs w:val="24"/>
        </w:rPr>
      </w:pPr>
    </w:p>
    <w:p w:rsidR="00FD2932" w:rsidRDefault="00FD2932" w:rsidP="00FD2932">
      <w:pPr>
        <w:rPr>
          <w:rFonts w:ascii="Calibri" w:hAnsi="Calibri"/>
          <w:sz w:val="24"/>
          <w:szCs w:val="24"/>
        </w:rPr>
      </w:pPr>
    </w:p>
    <w:p w:rsidR="00FD2932" w:rsidRPr="00BA4A2A" w:rsidRDefault="00FD2932" w:rsidP="00FD2932">
      <w:pPr>
        <w:rPr>
          <w:rFonts w:ascii="Calibri" w:hAnsi="Calibri"/>
          <w:b/>
          <w:sz w:val="24"/>
          <w:szCs w:val="24"/>
        </w:rPr>
      </w:pPr>
      <w:r w:rsidRPr="00BA4A2A">
        <w:rPr>
          <w:rFonts w:ascii="Calibri" w:hAnsi="Calibri"/>
          <w:b/>
          <w:sz w:val="24"/>
          <w:szCs w:val="24"/>
        </w:rPr>
        <w:lastRenderedPageBreak/>
        <w:t>References</w:t>
      </w:r>
    </w:p>
    <w:p w:rsidR="00FD2932" w:rsidRPr="00BA4A2A" w:rsidRDefault="00FD2932" w:rsidP="00FD2932">
      <w:pPr>
        <w:pStyle w:val="ColorfulList-Accent11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ascii="Calibri" w:hAnsi="Calibri"/>
        </w:rPr>
      </w:pPr>
      <w:r w:rsidRPr="00BA4A2A">
        <w:rPr>
          <w:rFonts w:ascii="Calibri" w:hAnsi="Calibri"/>
        </w:rPr>
        <w:t xml:space="preserve">Bekkering GE, Hendriks HJM, van Tulder MW, Knol DL, Hoeijenbos M, Oostendorp RAB, Bouter LM: </w:t>
      </w:r>
      <w:r w:rsidRPr="00BA4A2A">
        <w:rPr>
          <w:rFonts w:ascii="Calibri" w:hAnsi="Calibri"/>
          <w:b/>
        </w:rPr>
        <w:t>Effect on the process of care of an active strategy to implement clinical guidelines on physiotherapy for low back pain: a cluster randomized controlled trial.</w:t>
      </w:r>
      <w:r w:rsidRPr="00BA4A2A">
        <w:rPr>
          <w:rFonts w:ascii="Calibri" w:hAnsi="Calibri"/>
        </w:rPr>
        <w:t xml:space="preserve"> </w:t>
      </w:r>
      <w:r w:rsidRPr="00BA4A2A">
        <w:rPr>
          <w:rFonts w:ascii="Calibri" w:hAnsi="Calibri"/>
          <w:i/>
        </w:rPr>
        <w:t>Qual Saf Health Care</w:t>
      </w:r>
      <w:r w:rsidRPr="00BA4A2A">
        <w:rPr>
          <w:rFonts w:ascii="Calibri" w:hAnsi="Calibri"/>
        </w:rPr>
        <w:t xml:space="preserve"> 2005, 14:107-112.</w:t>
      </w:r>
    </w:p>
    <w:p w:rsidR="00FD2932" w:rsidRPr="00BA4A2A" w:rsidRDefault="00FD2932" w:rsidP="00FD2932">
      <w:pPr>
        <w:pStyle w:val="ColorfulList-Accent11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ascii="Calibri" w:hAnsi="Calibri"/>
        </w:rPr>
      </w:pPr>
      <w:r w:rsidRPr="00BA4A2A">
        <w:rPr>
          <w:rFonts w:ascii="Calibri" w:hAnsi="Calibri"/>
        </w:rPr>
        <w:t xml:space="preserve">Bekkering GE, van Tulder MW, Hendriks EJM, Koopmanschap MA, Knol DL, Bouter LM, Oostendorp RAB: </w:t>
      </w:r>
      <w:r w:rsidRPr="00BA4A2A">
        <w:rPr>
          <w:rFonts w:ascii="Calibri" w:hAnsi="Calibri"/>
          <w:b/>
        </w:rPr>
        <w:t>Implementation of clinical guidelines on physical therapy for patients with low back pain: randomized trial comparing patient outcomes after a standard and active implementation strategy.</w:t>
      </w:r>
      <w:r w:rsidRPr="00BA4A2A">
        <w:rPr>
          <w:rFonts w:ascii="Calibri" w:hAnsi="Calibri"/>
        </w:rPr>
        <w:t xml:space="preserve"> </w:t>
      </w:r>
      <w:r w:rsidRPr="00BA4A2A">
        <w:rPr>
          <w:rFonts w:ascii="Calibri" w:hAnsi="Calibri"/>
          <w:i/>
        </w:rPr>
        <w:t>Phys Ther</w:t>
      </w:r>
      <w:r w:rsidRPr="00BA4A2A">
        <w:rPr>
          <w:rFonts w:ascii="Calibri" w:hAnsi="Calibri"/>
        </w:rPr>
        <w:t xml:space="preserve"> 2005, 85:544-555.</w:t>
      </w:r>
    </w:p>
    <w:p w:rsidR="00FD2932" w:rsidRPr="00BA4A2A" w:rsidRDefault="00FD2932" w:rsidP="00FD2932">
      <w:pPr>
        <w:pStyle w:val="ColorfulList-Accent11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ascii="Calibri" w:hAnsi="Calibri"/>
        </w:rPr>
      </w:pPr>
      <w:r w:rsidRPr="00BA4A2A">
        <w:rPr>
          <w:rFonts w:ascii="Calibri" w:hAnsi="Calibri"/>
        </w:rPr>
        <w:t xml:space="preserve">Hoeijenbos M, Bekkering T, Lamers L, Hendricks E, van Tulder M, Koopmanschap M: </w:t>
      </w:r>
      <w:r w:rsidRPr="00BA4A2A">
        <w:rPr>
          <w:rFonts w:ascii="Calibri" w:hAnsi="Calibri"/>
          <w:b/>
        </w:rPr>
        <w:t>Cost-effectiveness of an active implementation strategy for the Dutch physiotherapy guideline for low back pain</w:t>
      </w:r>
      <w:r w:rsidRPr="00BA4A2A">
        <w:rPr>
          <w:rFonts w:ascii="Calibri" w:hAnsi="Calibri"/>
        </w:rPr>
        <w:t xml:space="preserve">. </w:t>
      </w:r>
      <w:r w:rsidRPr="00BA4A2A">
        <w:rPr>
          <w:rFonts w:ascii="Calibri" w:hAnsi="Calibri"/>
          <w:i/>
        </w:rPr>
        <w:t>Health Policy</w:t>
      </w:r>
      <w:r w:rsidRPr="00BA4A2A">
        <w:rPr>
          <w:rFonts w:ascii="Calibri" w:hAnsi="Calibri"/>
        </w:rPr>
        <w:t xml:space="preserve"> 2005, 75:85-98.</w:t>
      </w:r>
    </w:p>
    <w:p w:rsidR="00FD2932" w:rsidRPr="00BA4A2A" w:rsidRDefault="00FD2932" w:rsidP="00FD2932">
      <w:pPr>
        <w:pStyle w:val="ColorfulList-Accent11"/>
        <w:numPr>
          <w:ilvl w:val="0"/>
          <w:numId w:val="1"/>
        </w:numPr>
        <w:spacing w:line="480" w:lineRule="auto"/>
        <w:rPr>
          <w:rFonts w:ascii="Calibri" w:hAnsi="Calibri"/>
        </w:rPr>
      </w:pPr>
      <w:r w:rsidRPr="00BA4A2A">
        <w:rPr>
          <w:rFonts w:ascii="Calibri" w:hAnsi="Calibri"/>
        </w:rPr>
        <w:t xml:space="preserve">Rebbeck T, Maher CG, Refshauge KM: </w:t>
      </w:r>
      <w:r w:rsidRPr="00BA4A2A">
        <w:rPr>
          <w:rFonts w:ascii="Calibri" w:hAnsi="Calibri"/>
          <w:b/>
        </w:rPr>
        <w:t>Evaluating two implementation strategies for whiplash guidelines in physiotherapy: a cluster-randomised trial.</w:t>
      </w:r>
      <w:r w:rsidRPr="00BA4A2A">
        <w:rPr>
          <w:rFonts w:ascii="Calibri" w:hAnsi="Calibri"/>
        </w:rPr>
        <w:t xml:space="preserve"> </w:t>
      </w:r>
      <w:r w:rsidRPr="00BA4A2A">
        <w:rPr>
          <w:rFonts w:ascii="Calibri" w:hAnsi="Calibri"/>
          <w:i/>
        </w:rPr>
        <w:t>Aust J Physiother</w:t>
      </w:r>
      <w:r w:rsidRPr="00BA4A2A">
        <w:rPr>
          <w:rFonts w:ascii="Calibri" w:hAnsi="Calibri"/>
        </w:rPr>
        <w:t xml:space="preserve"> 2006, 52: 167-174.</w:t>
      </w:r>
    </w:p>
    <w:p w:rsidR="00FD2932" w:rsidRPr="00BA4A2A" w:rsidRDefault="00FD2932" w:rsidP="00FD2932">
      <w:pPr>
        <w:pStyle w:val="ColorfulList-Accent11"/>
        <w:numPr>
          <w:ilvl w:val="0"/>
          <w:numId w:val="1"/>
        </w:numPr>
        <w:spacing w:line="480" w:lineRule="auto"/>
        <w:rPr>
          <w:rFonts w:ascii="Calibri" w:hAnsi="Calibri"/>
        </w:rPr>
      </w:pPr>
      <w:r w:rsidRPr="00BA4A2A">
        <w:rPr>
          <w:rFonts w:ascii="Calibri" w:hAnsi="Calibri"/>
        </w:rPr>
        <w:t xml:space="preserve">Stevenson K, Lewis M, Hay E: </w:t>
      </w:r>
      <w:r w:rsidRPr="00BA4A2A">
        <w:rPr>
          <w:rFonts w:ascii="Calibri" w:hAnsi="Calibri"/>
          <w:b/>
        </w:rPr>
        <w:t>Does physiotherapy management of low back pain change as a result of an evidence-based educational programme.</w:t>
      </w:r>
      <w:r w:rsidRPr="00BA4A2A">
        <w:rPr>
          <w:rFonts w:ascii="Calibri" w:hAnsi="Calibri"/>
        </w:rPr>
        <w:t xml:space="preserve"> </w:t>
      </w:r>
      <w:r w:rsidRPr="00BA4A2A">
        <w:rPr>
          <w:rFonts w:ascii="Calibri" w:hAnsi="Calibri"/>
          <w:i/>
        </w:rPr>
        <w:t>J Eval Clin Pract</w:t>
      </w:r>
      <w:r w:rsidRPr="00BA4A2A">
        <w:rPr>
          <w:rFonts w:ascii="Calibri" w:hAnsi="Calibri"/>
        </w:rPr>
        <w:t xml:space="preserve"> 2004, 12:365-375.</w:t>
      </w:r>
    </w:p>
    <w:p w:rsidR="00FD2932" w:rsidRPr="00BA4A2A" w:rsidRDefault="00FD2932" w:rsidP="00FD2932">
      <w:pPr>
        <w:pStyle w:val="ColorfulList-Accent11"/>
        <w:numPr>
          <w:ilvl w:val="0"/>
          <w:numId w:val="1"/>
        </w:numPr>
        <w:spacing w:line="480" w:lineRule="auto"/>
        <w:rPr>
          <w:rFonts w:ascii="Calibri" w:hAnsi="Calibri"/>
        </w:rPr>
      </w:pPr>
      <w:r w:rsidRPr="00BA4A2A">
        <w:rPr>
          <w:rFonts w:ascii="Calibri" w:hAnsi="Calibri"/>
        </w:rPr>
        <w:t xml:space="preserve">Kerssens JJ, Sluijs EM, Verhaak PFM, Knibbe HJ, Hermans IMJ: </w:t>
      </w:r>
      <w:r w:rsidRPr="00BA4A2A">
        <w:rPr>
          <w:rFonts w:ascii="Calibri" w:hAnsi="Calibri"/>
          <w:b/>
        </w:rPr>
        <w:t>Educating patient educators: enhancing instructional effectiveness in physical therapy for low back patients</w:t>
      </w:r>
      <w:r w:rsidRPr="00BA4A2A">
        <w:rPr>
          <w:rFonts w:ascii="Calibri" w:hAnsi="Calibri"/>
        </w:rPr>
        <w:t xml:space="preserve">. </w:t>
      </w:r>
      <w:r w:rsidRPr="00BA4A2A">
        <w:rPr>
          <w:rFonts w:ascii="Calibri" w:hAnsi="Calibri"/>
          <w:i/>
        </w:rPr>
        <w:t>Patient Educ Couns</w:t>
      </w:r>
      <w:r w:rsidRPr="00BA4A2A">
        <w:rPr>
          <w:rFonts w:ascii="Calibri" w:hAnsi="Calibri"/>
        </w:rPr>
        <w:t xml:space="preserve"> 1999, 37:165-176.</w:t>
      </w:r>
    </w:p>
    <w:p w:rsidR="00FD2932" w:rsidRPr="00BA4A2A" w:rsidRDefault="00FD2932" w:rsidP="00FD2932">
      <w:pPr>
        <w:pStyle w:val="ColorfulList-Accent11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ascii="Calibri" w:hAnsi="Calibri"/>
        </w:rPr>
      </w:pPr>
      <w:r w:rsidRPr="00BA4A2A">
        <w:rPr>
          <w:rFonts w:ascii="Calibri" w:hAnsi="Calibri"/>
        </w:rPr>
        <w:t xml:space="preserve">Brown CJ, Gottschalk M, Van Ness PH, Fortinsky RH, Tinetti ME: </w:t>
      </w:r>
      <w:r w:rsidRPr="00BA4A2A">
        <w:rPr>
          <w:rFonts w:ascii="Calibri" w:hAnsi="Calibri"/>
          <w:b/>
        </w:rPr>
        <w:t>Changes in physical therapy providers’ use of fall prevention strategies following a multicomponent behavioral change intervention.</w:t>
      </w:r>
      <w:r w:rsidRPr="00BA4A2A">
        <w:rPr>
          <w:rFonts w:ascii="Calibri" w:hAnsi="Calibri"/>
        </w:rPr>
        <w:t xml:space="preserve"> </w:t>
      </w:r>
      <w:r w:rsidRPr="00BA4A2A">
        <w:rPr>
          <w:rFonts w:ascii="Calibri" w:hAnsi="Calibri"/>
          <w:i/>
        </w:rPr>
        <w:t>Phys Ther</w:t>
      </w:r>
      <w:r w:rsidRPr="00BA4A2A">
        <w:rPr>
          <w:rFonts w:ascii="Calibri" w:hAnsi="Calibri"/>
        </w:rPr>
        <w:t xml:space="preserve"> 2005, 85(5):394-403.</w:t>
      </w:r>
    </w:p>
    <w:p w:rsidR="00FD2932" w:rsidRPr="00BA4A2A" w:rsidRDefault="00FD2932" w:rsidP="00FD2932">
      <w:pPr>
        <w:pStyle w:val="ColorfulList-Accent11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ascii="Calibri" w:hAnsi="Calibri"/>
        </w:rPr>
      </w:pPr>
      <w:r w:rsidRPr="00BA4A2A">
        <w:rPr>
          <w:rFonts w:ascii="Calibri" w:hAnsi="Calibri"/>
        </w:rPr>
        <w:t xml:space="preserve">Gross DP, Lowe A: </w:t>
      </w:r>
      <w:r w:rsidRPr="00BA4A2A">
        <w:rPr>
          <w:rFonts w:ascii="Calibri" w:hAnsi="Calibri"/>
          <w:b/>
        </w:rPr>
        <w:t>Evaluation of a knowledge translation initiative for physical therapists treating patients with work disability.</w:t>
      </w:r>
      <w:r w:rsidRPr="00BA4A2A">
        <w:rPr>
          <w:rFonts w:ascii="Calibri" w:hAnsi="Calibri"/>
        </w:rPr>
        <w:t xml:space="preserve"> </w:t>
      </w:r>
      <w:r w:rsidRPr="00BA4A2A">
        <w:rPr>
          <w:rFonts w:ascii="Calibri" w:hAnsi="Calibri"/>
          <w:i/>
        </w:rPr>
        <w:t>Disabil Rehabil</w:t>
      </w:r>
      <w:r w:rsidRPr="00BA4A2A">
        <w:rPr>
          <w:rFonts w:ascii="Calibri" w:hAnsi="Calibri"/>
        </w:rPr>
        <w:t xml:space="preserve"> 2009, 31:871-879.</w:t>
      </w:r>
    </w:p>
    <w:p w:rsidR="00FD2932" w:rsidRPr="00BA4A2A" w:rsidRDefault="00FD2932" w:rsidP="00FD2932">
      <w:pPr>
        <w:pStyle w:val="ColorfulList-Accent11"/>
        <w:numPr>
          <w:ilvl w:val="0"/>
          <w:numId w:val="1"/>
        </w:numPr>
        <w:spacing w:line="480" w:lineRule="auto"/>
        <w:rPr>
          <w:rFonts w:ascii="Calibri" w:hAnsi="Calibri"/>
        </w:rPr>
      </w:pPr>
      <w:r w:rsidRPr="00BA4A2A">
        <w:rPr>
          <w:rFonts w:ascii="Calibri" w:hAnsi="Calibri"/>
        </w:rPr>
        <w:lastRenderedPageBreak/>
        <w:t xml:space="preserve">Schreiber J, Stern P, Marchetti G, Provident I: </w:t>
      </w:r>
      <w:r w:rsidRPr="00BA4A2A">
        <w:rPr>
          <w:rFonts w:ascii="Calibri" w:hAnsi="Calibri"/>
          <w:b/>
        </w:rPr>
        <w:t>Strategies to promote evidence-based practice in pediatric physical therapy: a formative evaluation pilot project.</w:t>
      </w:r>
      <w:r w:rsidRPr="00BA4A2A">
        <w:rPr>
          <w:rFonts w:ascii="Calibri" w:hAnsi="Calibri"/>
        </w:rPr>
        <w:t xml:space="preserve"> </w:t>
      </w:r>
      <w:r w:rsidRPr="00BA4A2A">
        <w:rPr>
          <w:rFonts w:ascii="Calibri" w:hAnsi="Calibri"/>
          <w:i/>
        </w:rPr>
        <w:t>Phys Ther</w:t>
      </w:r>
      <w:r w:rsidRPr="00BA4A2A">
        <w:rPr>
          <w:rFonts w:ascii="Calibri" w:hAnsi="Calibri"/>
        </w:rPr>
        <w:t xml:space="preserve"> 2009, 89:918-933.</w:t>
      </w:r>
    </w:p>
    <w:p w:rsidR="00FD2932" w:rsidRPr="00BA4A2A" w:rsidRDefault="00FD2932" w:rsidP="00FD2932">
      <w:pPr>
        <w:pStyle w:val="ColorfulList-Accent11"/>
        <w:numPr>
          <w:ilvl w:val="0"/>
          <w:numId w:val="1"/>
        </w:numPr>
        <w:spacing w:line="480" w:lineRule="auto"/>
        <w:rPr>
          <w:rFonts w:ascii="Calibri" w:hAnsi="Calibri"/>
        </w:rPr>
      </w:pPr>
      <w:r w:rsidRPr="00BA4A2A">
        <w:rPr>
          <w:rFonts w:ascii="Calibri" w:hAnsi="Calibri"/>
        </w:rPr>
        <w:t xml:space="preserve">Nikopoulou-Smyrni P, Nikopoulos CK: </w:t>
      </w:r>
      <w:r w:rsidRPr="00BA4A2A">
        <w:rPr>
          <w:rFonts w:ascii="Calibri" w:hAnsi="Calibri"/>
          <w:b/>
        </w:rPr>
        <w:t>A new integrated model of clinical reasoning: development, description and preliminary assessment in patients with stroke.</w:t>
      </w:r>
      <w:r w:rsidRPr="00BA4A2A">
        <w:rPr>
          <w:rFonts w:ascii="Calibri" w:hAnsi="Calibri"/>
        </w:rPr>
        <w:t xml:space="preserve"> </w:t>
      </w:r>
      <w:r w:rsidRPr="00BA4A2A">
        <w:rPr>
          <w:rFonts w:ascii="Calibri" w:hAnsi="Calibri"/>
          <w:i/>
        </w:rPr>
        <w:t>Disabil Rehabil</w:t>
      </w:r>
      <w:r w:rsidRPr="00BA4A2A">
        <w:rPr>
          <w:rFonts w:ascii="Calibri" w:hAnsi="Calibri"/>
        </w:rPr>
        <w:t xml:space="preserve"> 2007, 29:1129-1138.</w:t>
      </w:r>
    </w:p>
    <w:p w:rsidR="00FD2932" w:rsidRPr="00BA4A2A" w:rsidRDefault="00FD2932" w:rsidP="00FD2932">
      <w:pPr>
        <w:pStyle w:val="ColorfulList-Accent11"/>
        <w:numPr>
          <w:ilvl w:val="0"/>
          <w:numId w:val="1"/>
        </w:numPr>
        <w:spacing w:line="480" w:lineRule="auto"/>
        <w:rPr>
          <w:rFonts w:ascii="Calibri" w:hAnsi="Calibri"/>
        </w:rPr>
      </w:pPr>
      <w:r w:rsidRPr="00BA4A2A">
        <w:rPr>
          <w:rFonts w:ascii="Calibri" w:hAnsi="Calibri"/>
        </w:rPr>
        <w:t xml:space="preserve">Tripicchio B, Bykerk K, Wegner C, Wegner J: </w:t>
      </w:r>
      <w:r w:rsidRPr="00BA4A2A">
        <w:rPr>
          <w:rFonts w:ascii="Calibri" w:hAnsi="Calibri"/>
          <w:b/>
        </w:rPr>
        <w:t>Increasing patient participation: the effects of training physical and occupational therapists to involve geriatric patients in the concerns-clarification and goal-setting processes.</w:t>
      </w:r>
      <w:r w:rsidRPr="00BA4A2A">
        <w:rPr>
          <w:rFonts w:ascii="Calibri" w:hAnsi="Calibri"/>
        </w:rPr>
        <w:t xml:space="preserve"> </w:t>
      </w:r>
      <w:r w:rsidRPr="00BA4A2A">
        <w:rPr>
          <w:rFonts w:ascii="Calibri" w:hAnsi="Calibri"/>
          <w:i/>
        </w:rPr>
        <w:t>J Phys Ther Educ</w:t>
      </w:r>
      <w:r w:rsidRPr="00BA4A2A">
        <w:rPr>
          <w:rFonts w:ascii="Calibri" w:hAnsi="Calibri"/>
        </w:rPr>
        <w:t xml:space="preserve"> 2009, 23:55-63.</w:t>
      </w:r>
    </w:p>
    <w:p w:rsidR="00FD2932" w:rsidRPr="00BA4A2A" w:rsidRDefault="00FD2932" w:rsidP="00FD2932">
      <w:pPr>
        <w:pStyle w:val="ColorfulList-Accent11"/>
        <w:numPr>
          <w:ilvl w:val="0"/>
          <w:numId w:val="1"/>
        </w:numPr>
        <w:spacing w:line="480" w:lineRule="auto"/>
        <w:rPr>
          <w:rFonts w:ascii="Calibri" w:hAnsi="Calibri"/>
        </w:rPr>
      </w:pPr>
      <w:r w:rsidRPr="00BA4A2A">
        <w:rPr>
          <w:rFonts w:ascii="Calibri" w:hAnsi="Calibri"/>
        </w:rPr>
        <w:t xml:space="preserve">McCluskey A, Lovarini M: </w:t>
      </w:r>
      <w:r w:rsidRPr="00BA4A2A">
        <w:rPr>
          <w:rFonts w:ascii="Calibri" w:hAnsi="Calibri"/>
          <w:b/>
        </w:rPr>
        <w:t>Providing education on evidence-based practice improved knowledge but did not change behavior: a before and after study.</w:t>
      </w:r>
      <w:r w:rsidRPr="00BA4A2A">
        <w:rPr>
          <w:rFonts w:ascii="Calibri" w:hAnsi="Calibri"/>
        </w:rPr>
        <w:t xml:space="preserve"> </w:t>
      </w:r>
      <w:r w:rsidRPr="00BA4A2A">
        <w:rPr>
          <w:rFonts w:ascii="Calibri" w:hAnsi="Calibri"/>
          <w:i/>
        </w:rPr>
        <w:t>BMC Medical Education</w:t>
      </w:r>
      <w:r w:rsidRPr="00BA4A2A">
        <w:rPr>
          <w:rFonts w:ascii="Calibri" w:hAnsi="Calibri"/>
        </w:rPr>
        <w:t xml:space="preserve"> 2005, 5:1-12.</w:t>
      </w:r>
    </w:p>
    <w:p w:rsidR="00FD2932" w:rsidRPr="00BA4A2A" w:rsidRDefault="00FD2932" w:rsidP="00FD2932">
      <w:pPr>
        <w:pStyle w:val="ColorfulList-Accent11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ascii="Calibri" w:hAnsi="Calibri"/>
        </w:rPr>
      </w:pPr>
      <w:r w:rsidRPr="00BA4A2A">
        <w:rPr>
          <w:rFonts w:ascii="Calibri" w:hAnsi="Calibri"/>
        </w:rPr>
        <w:t xml:space="preserve">Hammond A, Klompenhouwer P: </w:t>
      </w:r>
      <w:r w:rsidRPr="00BA4A2A">
        <w:rPr>
          <w:rFonts w:ascii="Calibri" w:hAnsi="Calibri"/>
          <w:b/>
        </w:rPr>
        <w:t>Getting evidence into practice: implementing a behavioural joint protection education programme for people with rheumatoid arthritis.</w:t>
      </w:r>
      <w:r w:rsidRPr="00BA4A2A">
        <w:rPr>
          <w:rFonts w:ascii="Calibri" w:hAnsi="Calibri"/>
        </w:rPr>
        <w:t xml:space="preserve"> </w:t>
      </w:r>
      <w:r w:rsidRPr="00BA4A2A">
        <w:rPr>
          <w:rFonts w:ascii="Calibri" w:hAnsi="Calibri"/>
          <w:i/>
        </w:rPr>
        <w:t>Br J Occup Ther</w:t>
      </w:r>
      <w:r w:rsidRPr="00BA4A2A">
        <w:rPr>
          <w:rFonts w:ascii="Calibri" w:hAnsi="Calibri"/>
        </w:rPr>
        <w:t xml:space="preserve"> 2005, 68:25-33.</w:t>
      </w:r>
    </w:p>
    <w:p w:rsidR="00FD2932" w:rsidRPr="00BA4A2A" w:rsidRDefault="00FD2932" w:rsidP="00FD2932">
      <w:pPr>
        <w:pStyle w:val="ColorfulList-Accent11"/>
        <w:numPr>
          <w:ilvl w:val="0"/>
          <w:numId w:val="1"/>
        </w:numPr>
        <w:spacing w:line="480" w:lineRule="auto"/>
        <w:rPr>
          <w:rFonts w:ascii="Calibri" w:hAnsi="Calibri"/>
        </w:rPr>
      </w:pPr>
      <w:r w:rsidRPr="00BA4A2A">
        <w:rPr>
          <w:rFonts w:ascii="Calibri" w:hAnsi="Calibri"/>
        </w:rPr>
        <w:t xml:space="preserve">McKenna K, Bennett S, Dierselhuis Z, Hoffmann T, Tooth L, McCluskey A: </w:t>
      </w:r>
      <w:r w:rsidRPr="00BA4A2A">
        <w:rPr>
          <w:rFonts w:ascii="Calibri" w:hAnsi="Calibri"/>
          <w:b/>
        </w:rPr>
        <w:t xml:space="preserve">Australian occupational therapists’ use of an online evidence-based practice database (OTseeker). </w:t>
      </w:r>
      <w:r w:rsidRPr="00BA4A2A">
        <w:rPr>
          <w:rFonts w:ascii="Calibri" w:hAnsi="Calibri"/>
          <w:i/>
        </w:rPr>
        <w:t>Health Information and Libraries Journal</w:t>
      </w:r>
      <w:r w:rsidRPr="00BA4A2A">
        <w:rPr>
          <w:rFonts w:ascii="Calibri" w:hAnsi="Calibri"/>
        </w:rPr>
        <w:t xml:space="preserve"> 2005, 22:205-214.</w:t>
      </w:r>
    </w:p>
    <w:p w:rsidR="00FD2932" w:rsidRPr="00BA4A2A" w:rsidRDefault="00FD2932" w:rsidP="00FD2932">
      <w:pPr>
        <w:pStyle w:val="ColorfulList-Accent11"/>
        <w:numPr>
          <w:ilvl w:val="0"/>
          <w:numId w:val="1"/>
        </w:numPr>
        <w:spacing w:line="480" w:lineRule="auto"/>
        <w:rPr>
          <w:rFonts w:ascii="Calibri" w:hAnsi="Calibri"/>
        </w:rPr>
      </w:pPr>
      <w:r w:rsidRPr="00BA4A2A">
        <w:rPr>
          <w:rFonts w:ascii="Calibri" w:hAnsi="Calibri"/>
        </w:rPr>
        <w:t xml:space="preserve">Vachon B, Durand MJ, LeBlanc J: </w:t>
      </w:r>
      <w:r w:rsidRPr="00BA4A2A">
        <w:rPr>
          <w:rFonts w:ascii="Calibri" w:hAnsi="Calibri"/>
          <w:b/>
        </w:rPr>
        <w:t>Using reflective learning to improve the impact of continuing education in the context of work rehabilitation</w:t>
      </w:r>
      <w:r w:rsidRPr="00BA4A2A">
        <w:rPr>
          <w:rFonts w:ascii="Calibri" w:hAnsi="Calibri"/>
        </w:rPr>
        <w:t xml:space="preserve">. </w:t>
      </w:r>
      <w:r w:rsidRPr="00BA4A2A">
        <w:rPr>
          <w:rFonts w:ascii="Calibri" w:hAnsi="Calibri"/>
          <w:i/>
        </w:rPr>
        <w:t>Adv in Health Sci Educ</w:t>
      </w:r>
      <w:r w:rsidRPr="00BA4A2A">
        <w:rPr>
          <w:rFonts w:ascii="Calibri" w:hAnsi="Calibri"/>
        </w:rPr>
        <w:t xml:space="preserve"> 2010, 15:329-348.</w:t>
      </w:r>
    </w:p>
    <w:p w:rsidR="00FD2932" w:rsidRDefault="00FD2932" w:rsidP="00FD2932"/>
    <w:p w:rsidR="00FD2932" w:rsidRPr="00FD2932" w:rsidRDefault="00FD2932" w:rsidP="00FD2932"/>
    <w:sectPr w:rsidR="00FD2932" w:rsidRPr="00FD2932" w:rsidSect="00FD2932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932" w:rsidRDefault="00FD2932" w:rsidP="00FD2932">
      <w:pPr>
        <w:spacing w:after="0" w:line="240" w:lineRule="auto"/>
      </w:pPr>
      <w:r>
        <w:separator/>
      </w:r>
    </w:p>
  </w:endnote>
  <w:endnote w:type="continuationSeparator" w:id="0">
    <w:p w:rsidR="00FD2932" w:rsidRDefault="00FD2932" w:rsidP="00FD2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932" w:rsidRDefault="00FD2932" w:rsidP="00FD2932">
      <w:pPr>
        <w:spacing w:after="0" w:line="240" w:lineRule="auto"/>
      </w:pPr>
      <w:r>
        <w:separator/>
      </w:r>
    </w:p>
  </w:footnote>
  <w:footnote w:type="continuationSeparator" w:id="0">
    <w:p w:rsidR="00FD2932" w:rsidRDefault="00FD2932" w:rsidP="00FD29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0516F"/>
    <w:multiLevelType w:val="hybridMultilevel"/>
    <w:tmpl w:val="3E42E9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6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932"/>
    <w:rsid w:val="00676CE8"/>
    <w:rsid w:val="00D86B22"/>
    <w:rsid w:val="00DC2BA6"/>
    <w:rsid w:val="00FD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FD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D29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932"/>
  </w:style>
  <w:style w:type="paragraph" w:styleId="Footer">
    <w:name w:val="footer"/>
    <w:basedOn w:val="Normal"/>
    <w:link w:val="FooterChar"/>
    <w:uiPriority w:val="99"/>
    <w:unhideWhenUsed/>
    <w:rsid w:val="00FD29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9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FD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D29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932"/>
  </w:style>
  <w:style w:type="paragraph" w:styleId="Footer">
    <w:name w:val="footer"/>
    <w:basedOn w:val="Normal"/>
    <w:link w:val="FooterChar"/>
    <w:uiPriority w:val="99"/>
    <w:unhideWhenUsed/>
    <w:rsid w:val="00FD29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Alberta</Company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Albrecht</dc:creator>
  <cp:lastModifiedBy>Lauren Albrecht</cp:lastModifiedBy>
  <cp:revision>3</cp:revision>
  <dcterms:created xsi:type="dcterms:W3CDTF">2013-02-21T22:33:00Z</dcterms:created>
  <dcterms:modified xsi:type="dcterms:W3CDTF">2013-02-21T23:26:00Z</dcterms:modified>
</cp:coreProperties>
</file>