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CFD" w:rsidRPr="00B14ECC" w:rsidRDefault="00AA1CFD" w:rsidP="00AA1CFD">
      <w:pPr>
        <w:rPr>
          <w:rFonts w:ascii="Times New Roman" w:hAnsi="Times New Roman" w:cs="Times New Roman"/>
          <w:sz w:val="24"/>
          <w:szCs w:val="24"/>
        </w:rPr>
      </w:pPr>
      <w:r w:rsidRPr="00B14ECC">
        <w:rPr>
          <w:rFonts w:ascii="Times New Roman" w:hAnsi="Times New Roman" w:cs="Times New Roman"/>
          <w:b/>
          <w:sz w:val="24"/>
          <w:szCs w:val="24"/>
        </w:rPr>
        <w:t>Figure 3B:</w:t>
      </w:r>
      <w:r w:rsidRPr="00B14ECC">
        <w:rPr>
          <w:rFonts w:ascii="Times New Roman" w:hAnsi="Times New Roman" w:cs="Times New Roman"/>
          <w:sz w:val="24"/>
          <w:szCs w:val="24"/>
        </w:rPr>
        <w:t xml:space="preserve"> Age group (</w:t>
      </w:r>
      <w:proofErr w:type="spellStart"/>
      <w:r w:rsidRPr="00B14ECC">
        <w:rPr>
          <w:rFonts w:ascii="Times New Roman" w:hAnsi="Times New Roman" w:cs="Times New Roman"/>
          <w:sz w:val="24"/>
          <w:szCs w:val="24"/>
        </w:rPr>
        <w:t>decile</w:t>
      </w:r>
      <w:proofErr w:type="spellEnd"/>
      <w:r w:rsidRPr="00B14ECC">
        <w:rPr>
          <w:rFonts w:ascii="Times New Roman" w:hAnsi="Times New Roman" w:cs="Times New Roman"/>
          <w:sz w:val="24"/>
          <w:szCs w:val="24"/>
        </w:rPr>
        <w:t xml:space="preserve"> years) and femoral fracture patterns in females.</w:t>
      </w:r>
    </w:p>
    <w:p w:rsidR="00AA1CFD" w:rsidRPr="00B14ECC" w:rsidRDefault="00AA1CFD" w:rsidP="00AA1CFD">
      <w:pPr>
        <w:rPr>
          <w:rFonts w:ascii="Times New Roman" w:hAnsi="Times New Roman" w:cs="Times New Roman"/>
          <w:sz w:val="24"/>
          <w:szCs w:val="24"/>
        </w:rPr>
      </w:pPr>
      <w:r w:rsidRPr="00B14ECC"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 wp14:anchorId="0945B6E5" wp14:editId="52862E0E">
            <wp:extent cx="6278400" cy="3808800"/>
            <wp:effectExtent l="19050" t="0" r="27150" b="1200"/>
            <wp:docPr id="11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AA1CFD" w:rsidRPr="00B14ECC" w:rsidRDefault="00AA1CFD" w:rsidP="00AA1CF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14ECC">
        <w:rPr>
          <w:rFonts w:ascii="Times New Roman" w:hAnsi="Times New Roman" w:cs="Times New Roman"/>
          <w:b/>
          <w:sz w:val="24"/>
          <w:szCs w:val="24"/>
        </w:rPr>
        <w:t xml:space="preserve">FIGURE LEGEND 3B: </w:t>
      </w:r>
      <w:r w:rsidRPr="00B14ECC">
        <w:rPr>
          <w:rFonts w:ascii="Times New Roman" w:hAnsi="Times New Roman" w:cs="Times New Roman"/>
          <w:sz w:val="24"/>
          <w:szCs w:val="24"/>
        </w:rPr>
        <w:t>The frequency of different fracture patterns (Femoral neck, Intertrochanteric, and Other) in adult females (</w:t>
      </w:r>
      <w:proofErr w:type="spellStart"/>
      <w:r w:rsidRPr="00B14ECC">
        <w:rPr>
          <w:rFonts w:ascii="Times New Roman" w:hAnsi="Times New Roman" w:cs="Times New Roman"/>
          <w:sz w:val="24"/>
          <w:szCs w:val="24"/>
        </w:rPr>
        <w:t>decile</w:t>
      </w:r>
      <w:proofErr w:type="spellEnd"/>
      <w:r w:rsidRPr="00B14ECC">
        <w:rPr>
          <w:rFonts w:ascii="Times New Roman" w:hAnsi="Times New Roman" w:cs="Times New Roman"/>
          <w:sz w:val="24"/>
          <w:szCs w:val="24"/>
        </w:rPr>
        <w:t xml:space="preserve"> years) aged 60 and above. Pearson’s chi-square (6 </w:t>
      </w:r>
      <w:proofErr w:type="spellStart"/>
      <w:proofErr w:type="gramStart"/>
      <w:r w:rsidRPr="00B14ECC">
        <w:rPr>
          <w:rFonts w:ascii="Times New Roman" w:hAnsi="Times New Roman" w:cs="Times New Roman"/>
          <w:sz w:val="24"/>
          <w:szCs w:val="24"/>
        </w:rPr>
        <w:t>df</w:t>
      </w:r>
      <w:proofErr w:type="spellEnd"/>
      <w:proofErr w:type="gramEnd"/>
      <w:r w:rsidRPr="00B14ECC">
        <w:rPr>
          <w:rFonts w:ascii="Times New Roman" w:hAnsi="Times New Roman" w:cs="Times New Roman"/>
          <w:sz w:val="24"/>
          <w:szCs w:val="24"/>
        </w:rPr>
        <w:t>) = 14.5, p = 0.023</w:t>
      </w:r>
    </w:p>
    <w:p w:rsidR="00514C38" w:rsidRDefault="00514C38">
      <w:bookmarkStart w:id="0" w:name="_GoBack"/>
      <w:bookmarkEnd w:id="0"/>
    </w:p>
    <w:sectPr w:rsidR="00514C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CFD"/>
    <w:rsid w:val="00514C38"/>
    <w:rsid w:val="00AA1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CFD"/>
    <w:rPr>
      <w:rFonts w:eastAsiaTheme="minorEastAsia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1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CFD"/>
    <w:rPr>
      <w:rFonts w:ascii="Tahoma" w:eastAsiaTheme="minorEastAsia" w:hAnsi="Tahoma" w:cs="Tahoma"/>
      <w:sz w:val="16"/>
      <w:szCs w:val="16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CFD"/>
    <w:rPr>
      <w:rFonts w:eastAsiaTheme="minorEastAsia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1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CFD"/>
    <w:rPr>
      <w:rFonts w:ascii="Tahoma" w:eastAsiaTheme="minorEastAsia" w:hAnsi="Tahoma" w:cs="Tahoma"/>
      <w:sz w:val="16"/>
      <w:szCs w:val="16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splitecho88:Desktop:hip%20frac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Females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Sheet8!$H$6</c:f>
              <c:strCache>
                <c:ptCount val="1"/>
                <c:pt idx="0">
                  <c:v>femoral neck</c:v>
                </c:pt>
              </c:strCache>
            </c:strRef>
          </c:tx>
          <c:invertIfNegative val="0"/>
          <c:cat>
            <c:strRef>
              <c:f>Sheet8!$I$5:$L$5</c:f>
              <c:strCache>
                <c:ptCount val="4"/>
                <c:pt idx="0">
                  <c:v>60 - 69</c:v>
                </c:pt>
                <c:pt idx="1">
                  <c:v>70 - 79</c:v>
                </c:pt>
                <c:pt idx="2">
                  <c:v>80 - 89</c:v>
                </c:pt>
                <c:pt idx="3">
                  <c:v>90 above</c:v>
                </c:pt>
              </c:strCache>
            </c:strRef>
          </c:cat>
          <c:val>
            <c:numRef>
              <c:f>Sheet8!$I$6:$L$6</c:f>
              <c:numCache>
                <c:formatCode>General</c:formatCode>
                <c:ptCount val="4"/>
                <c:pt idx="0">
                  <c:v>10</c:v>
                </c:pt>
                <c:pt idx="1">
                  <c:v>30</c:v>
                </c:pt>
                <c:pt idx="2">
                  <c:v>56</c:v>
                </c:pt>
                <c:pt idx="3">
                  <c:v>28</c:v>
                </c:pt>
              </c:numCache>
            </c:numRef>
          </c:val>
        </c:ser>
        <c:ser>
          <c:idx val="1"/>
          <c:order val="1"/>
          <c:tx>
            <c:strRef>
              <c:f>Sheet8!$H$7</c:f>
              <c:strCache>
                <c:ptCount val="1"/>
                <c:pt idx="0">
                  <c:v>intertrochanteric</c:v>
                </c:pt>
              </c:strCache>
            </c:strRef>
          </c:tx>
          <c:invertIfNegative val="0"/>
          <c:cat>
            <c:strRef>
              <c:f>Sheet8!$I$5:$L$5</c:f>
              <c:strCache>
                <c:ptCount val="4"/>
                <c:pt idx="0">
                  <c:v>60 - 69</c:v>
                </c:pt>
                <c:pt idx="1">
                  <c:v>70 - 79</c:v>
                </c:pt>
                <c:pt idx="2">
                  <c:v>80 - 89</c:v>
                </c:pt>
                <c:pt idx="3">
                  <c:v>90 above</c:v>
                </c:pt>
              </c:strCache>
            </c:strRef>
          </c:cat>
          <c:val>
            <c:numRef>
              <c:f>Sheet8!$I$7:$L$7</c:f>
              <c:numCache>
                <c:formatCode>General</c:formatCode>
                <c:ptCount val="4"/>
                <c:pt idx="0">
                  <c:v>6</c:v>
                </c:pt>
                <c:pt idx="1">
                  <c:v>12</c:v>
                </c:pt>
                <c:pt idx="2">
                  <c:v>39</c:v>
                </c:pt>
                <c:pt idx="3">
                  <c:v>30</c:v>
                </c:pt>
              </c:numCache>
            </c:numRef>
          </c:val>
        </c:ser>
        <c:ser>
          <c:idx val="2"/>
          <c:order val="2"/>
          <c:tx>
            <c:strRef>
              <c:f>Sheet8!$H$8</c:f>
              <c:strCache>
                <c:ptCount val="1"/>
                <c:pt idx="0">
                  <c:v>other</c:v>
                </c:pt>
              </c:strCache>
            </c:strRef>
          </c:tx>
          <c:invertIfNegative val="0"/>
          <c:cat>
            <c:strRef>
              <c:f>Sheet8!$I$5:$L$5</c:f>
              <c:strCache>
                <c:ptCount val="4"/>
                <c:pt idx="0">
                  <c:v>60 - 69</c:v>
                </c:pt>
                <c:pt idx="1">
                  <c:v>70 - 79</c:v>
                </c:pt>
                <c:pt idx="2">
                  <c:v>80 - 89</c:v>
                </c:pt>
                <c:pt idx="3">
                  <c:v>90 above</c:v>
                </c:pt>
              </c:strCache>
            </c:strRef>
          </c:cat>
          <c:val>
            <c:numRef>
              <c:f>Sheet8!$I$8:$L$8</c:f>
              <c:numCache>
                <c:formatCode>General</c:formatCode>
                <c:ptCount val="4"/>
                <c:pt idx="0">
                  <c:v>5</c:v>
                </c:pt>
                <c:pt idx="1">
                  <c:v>3</c:v>
                </c:pt>
                <c:pt idx="2">
                  <c:v>5</c:v>
                </c:pt>
                <c:pt idx="3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4520960"/>
        <c:axId val="214522880"/>
      </c:barChart>
      <c:catAx>
        <c:axId val="21452096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Age (deciles)</a:t>
                </a:r>
              </a:p>
            </c:rich>
          </c:tx>
          <c:layout/>
          <c:overlay val="0"/>
        </c:title>
        <c:majorTickMark val="out"/>
        <c:minorTickMark val="none"/>
        <c:tickLblPos val="nextTo"/>
        <c:crossAx val="214522880"/>
        <c:crosses val="autoZero"/>
        <c:auto val="1"/>
        <c:lblAlgn val="ctr"/>
        <c:lblOffset val="100"/>
        <c:noMultiLvlLbl val="0"/>
      </c:catAx>
      <c:valAx>
        <c:axId val="214522880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Number of Patients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21452096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C. Lincoln Healthcare</Company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JCL</dc:creator>
  <cp:keywords/>
  <dc:description/>
  <cp:lastModifiedBy>JCL</cp:lastModifiedBy>
  <cp:revision>1</cp:revision>
  <dcterms:created xsi:type="dcterms:W3CDTF">2014-08-21T23:11:00Z</dcterms:created>
  <dcterms:modified xsi:type="dcterms:W3CDTF">2014-08-21T23:11:00Z</dcterms:modified>
</cp:coreProperties>
</file>