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tblpY="615"/>
        <w:tblW w:w="14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7"/>
        <w:gridCol w:w="1701"/>
        <w:gridCol w:w="1694"/>
        <w:gridCol w:w="1708"/>
        <w:gridCol w:w="1466"/>
        <w:gridCol w:w="1587"/>
        <w:gridCol w:w="1587"/>
        <w:gridCol w:w="1587"/>
        <w:gridCol w:w="1701"/>
      </w:tblGrid>
      <w:tr w:rsidR="00975329" w:rsidRPr="00856077" w:rsidTr="00F06CE6">
        <w:tc>
          <w:tcPr>
            <w:tcW w:w="14228" w:type="dxa"/>
            <w:gridSpan w:val="9"/>
            <w:tcBorders>
              <w:top w:val="nil"/>
              <w:left w:val="nil"/>
              <w:right w:val="nil"/>
            </w:tcBorders>
            <w:tcMar>
              <w:left w:w="28" w:type="dxa"/>
              <w:right w:w="28" w:type="dxa"/>
            </w:tcMar>
            <w:vAlign w:val="center"/>
          </w:tcPr>
          <w:p w:rsidR="00975329" w:rsidRPr="00366692" w:rsidRDefault="00975329" w:rsidP="00F06CE6">
            <w:pPr>
              <w:spacing w:line="240" w:lineRule="auto"/>
              <w:rPr>
                <w:rFonts w:ascii="Arial" w:hAnsi="Arial" w:cs="Arial"/>
                <w:b/>
                <w:sz w:val="18"/>
                <w:szCs w:val="18"/>
                <w:lang w:val="en-GB"/>
              </w:rPr>
            </w:pPr>
            <w:r w:rsidRPr="00366692">
              <w:rPr>
                <w:rFonts w:ascii="Arial" w:hAnsi="Arial" w:cs="Arial"/>
                <w:b/>
                <w:sz w:val="18"/>
                <w:szCs w:val="18"/>
                <w:lang w:val="en-GB"/>
              </w:rPr>
              <w:t xml:space="preserve">Table </w:t>
            </w:r>
            <w:r w:rsidR="0041622F">
              <w:rPr>
                <w:rFonts w:ascii="Arial" w:hAnsi="Arial" w:cs="Arial"/>
                <w:b/>
                <w:sz w:val="18"/>
                <w:szCs w:val="18"/>
                <w:lang w:val="en-GB"/>
              </w:rPr>
              <w:t>S</w:t>
            </w:r>
            <w:r w:rsidR="009621FA">
              <w:rPr>
                <w:rFonts w:ascii="Arial" w:hAnsi="Arial" w:cs="Arial"/>
                <w:b/>
                <w:sz w:val="18"/>
                <w:szCs w:val="18"/>
                <w:lang w:val="en-GB"/>
              </w:rPr>
              <w:t>1</w:t>
            </w:r>
            <w:r w:rsidRPr="00366692">
              <w:rPr>
                <w:rFonts w:ascii="Arial" w:hAnsi="Arial" w:cs="Arial"/>
                <w:b/>
                <w:sz w:val="18"/>
                <w:szCs w:val="18"/>
                <w:lang w:val="en-GB"/>
              </w:rPr>
              <w:t xml:space="preserve">: </w:t>
            </w:r>
            <w:r w:rsidR="00856077" w:rsidRPr="00856077">
              <w:rPr>
                <w:lang w:val="en-US"/>
              </w:rPr>
              <w:t xml:space="preserve"> </w:t>
            </w:r>
            <w:r w:rsidR="00856077" w:rsidRPr="00856077">
              <w:rPr>
                <w:rFonts w:ascii="Arial" w:hAnsi="Arial" w:cs="Arial"/>
                <w:b/>
                <w:sz w:val="18"/>
                <w:szCs w:val="18"/>
                <w:lang w:val="en-GB"/>
              </w:rPr>
              <w:t>Return of significant research findings: one example per result-category is reported for each Biobank</w:t>
            </w:r>
          </w:p>
        </w:tc>
      </w:tr>
      <w:tr w:rsidR="00C81810" w:rsidRPr="00856077" w:rsidTr="00F06CE6">
        <w:tc>
          <w:tcPr>
            <w:tcW w:w="1197" w:type="dxa"/>
            <w:tcMar>
              <w:left w:w="28" w:type="dxa"/>
              <w:right w:w="28" w:type="dxa"/>
            </w:tcMar>
            <w:vAlign w:val="center"/>
          </w:tcPr>
          <w:p w:rsidR="00C81810" w:rsidRPr="00366692" w:rsidRDefault="00C81810" w:rsidP="00F06CE6">
            <w:pPr>
              <w:pStyle w:val="NormaleWeb"/>
              <w:tabs>
                <w:tab w:val="left" w:pos="993"/>
              </w:tabs>
              <w:spacing w:before="0" w:beforeAutospacing="0" w:after="0" w:afterAutospacing="0" w:line="276" w:lineRule="auto"/>
              <w:jc w:val="center"/>
              <w:rPr>
                <w:rFonts w:ascii="Arial" w:hAnsi="Arial" w:cs="Arial"/>
                <w:b/>
                <w:sz w:val="18"/>
                <w:szCs w:val="18"/>
              </w:rPr>
            </w:pPr>
            <w:r w:rsidRPr="00366692">
              <w:rPr>
                <w:rFonts w:ascii="Arial" w:eastAsia="Calibri" w:hAnsi="Arial" w:cs="Arial"/>
                <w:b/>
                <w:bCs/>
                <w:color w:val="000000"/>
                <w:kern w:val="24"/>
                <w:sz w:val="18"/>
                <w:szCs w:val="18"/>
                <w:lang w:val="en-GB"/>
              </w:rPr>
              <w:t>BIOBANK ACRONYM</w:t>
            </w:r>
          </w:p>
        </w:tc>
        <w:tc>
          <w:tcPr>
            <w:tcW w:w="1701"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GB"/>
              </w:rPr>
            </w:pPr>
            <w:r w:rsidRPr="00366692">
              <w:rPr>
                <w:rFonts w:ascii="Arial" w:hAnsi="Arial" w:cs="Arial"/>
                <w:b/>
                <w:bCs/>
                <w:sz w:val="18"/>
                <w:szCs w:val="18"/>
              </w:rPr>
              <w:t>RETROSPECTIVE DIAGNOSIS</w:t>
            </w:r>
          </w:p>
        </w:tc>
        <w:tc>
          <w:tcPr>
            <w:tcW w:w="1694"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DISCOVERY OF NEW SYNDROMES AND GENES</w:t>
            </w:r>
          </w:p>
        </w:tc>
        <w:tc>
          <w:tcPr>
            <w:tcW w:w="1708"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MOLECULAR AND FUNCTIONAL STUDIES</w:t>
            </w:r>
          </w:p>
        </w:tc>
        <w:tc>
          <w:tcPr>
            <w:tcW w:w="1466"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METHOD SET UP</w:t>
            </w:r>
          </w:p>
        </w:tc>
        <w:tc>
          <w:tcPr>
            <w:tcW w:w="1587"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GENOTYPE/ PHENOTYPE CORRELATION STUDIES</w:t>
            </w:r>
          </w:p>
        </w:tc>
        <w:tc>
          <w:tcPr>
            <w:tcW w:w="1587"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THERAPEUTIC STUDIES</w:t>
            </w:r>
          </w:p>
        </w:tc>
        <w:tc>
          <w:tcPr>
            <w:tcW w:w="1587" w:type="dxa"/>
            <w:tcMar>
              <w:left w:w="28" w:type="dxa"/>
              <w:right w:w="28" w:type="dxa"/>
            </w:tcMar>
            <w:vAlign w:val="center"/>
          </w:tcPr>
          <w:p w:rsidR="00C81810" w:rsidRPr="00366692" w:rsidRDefault="00C81810" w:rsidP="00F06CE6">
            <w:pPr>
              <w:spacing w:after="0" w:line="240" w:lineRule="auto"/>
              <w:ind w:left="1" w:firstLine="8"/>
              <w:jc w:val="center"/>
              <w:rPr>
                <w:rFonts w:ascii="Arial" w:hAnsi="Arial" w:cs="Arial"/>
                <w:b/>
                <w:sz w:val="18"/>
                <w:szCs w:val="18"/>
                <w:lang w:val="en-US"/>
              </w:rPr>
            </w:pPr>
            <w:r w:rsidRPr="00366692">
              <w:rPr>
                <w:rFonts w:ascii="Arial" w:hAnsi="Arial" w:cs="Arial"/>
                <w:b/>
                <w:sz w:val="18"/>
                <w:szCs w:val="18"/>
                <w:lang w:val="en-US"/>
              </w:rPr>
              <w:t>GENETIC EPIDEMIOLOGIC STUDIES</w:t>
            </w:r>
          </w:p>
        </w:tc>
        <w:tc>
          <w:tcPr>
            <w:tcW w:w="1701" w:type="dxa"/>
            <w:tcMar>
              <w:left w:w="28" w:type="dxa"/>
              <w:right w:w="28" w:type="dxa"/>
            </w:tcMar>
            <w:vAlign w:val="center"/>
          </w:tcPr>
          <w:p w:rsidR="00C81810" w:rsidRPr="00366692" w:rsidRDefault="00C81810" w:rsidP="00F06CE6">
            <w:pPr>
              <w:spacing w:after="0" w:line="240" w:lineRule="auto"/>
              <w:jc w:val="center"/>
              <w:rPr>
                <w:rFonts w:ascii="Arial" w:hAnsi="Arial" w:cs="Arial"/>
                <w:b/>
                <w:sz w:val="18"/>
                <w:szCs w:val="18"/>
                <w:lang w:val="en-US"/>
              </w:rPr>
            </w:pPr>
            <w:r w:rsidRPr="00366692">
              <w:rPr>
                <w:rFonts w:ascii="Arial" w:hAnsi="Arial" w:cs="Arial"/>
                <w:b/>
                <w:sz w:val="18"/>
                <w:szCs w:val="18"/>
                <w:lang w:val="en-GB"/>
              </w:rPr>
              <w:t>STEM CELLS AND CLINICAL APPLICATIONS</w:t>
            </w:r>
          </w:p>
        </w:tc>
      </w:tr>
      <w:tr w:rsidR="00C81810" w:rsidRPr="00366692" w:rsidTr="00F06CE6">
        <w:trPr>
          <w:trHeight w:hRule="exact" w:val="680"/>
        </w:trPr>
        <w:tc>
          <w:tcPr>
            <w:tcW w:w="1197" w:type="dxa"/>
            <w:tcMar>
              <w:left w:w="28" w:type="dxa"/>
              <w:right w:w="28" w:type="dxa"/>
            </w:tcMar>
            <w:vAlign w:val="center"/>
          </w:tcPr>
          <w:p w:rsidR="00C81810" w:rsidRPr="00366692" w:rsidRDefault="00C81810" w:rsidP="00F06CE6">
            <w:pPr>
              <w:pStyle w:val="NormaleWeb"/>
              <w:tabs>
                <w:tab w:val="left" w:pos="-11"/>
              </w:tabs>
              <w:spacing w:before="0" w:beforeAutospacing="0" w:after="0" w:afterAutospacing="0"/>
              <w:jc w:val="center"/>
              <w:rPr>
                <w:rFonts w:ascii="Arial" w:hAnsi="Arial" w:cs="Arial"/>
                <w:sz w:val="18"/>
                <w:szCs w:val="18"/>
                <w:lang w:val="en-US"/>
              </w:rPr>
            </w:pPr>
            <w:r w:rsidRPr="00366692">
              <w:rPr>
                <w:rFonts w:ascii="Arial" w:eastAsia="Calibri" w:hAnsi="Arial" w:cs="Arial"/>
                <w:color w:val="000000"/>
                <w:kern w:val="24"/>
                <w:sz w:val="18"/>
                <w:szCs w:val="18"/>
                <w:lang w:val="en-GB"/>
              </w:rPr>
              <w:t>IGG-GB</w:t>
            </w:r>
          </w:p>
        </w:tc>
        <w:tc>
          <w:tcPr>
            <w:tcW w:w="1701" w:type="dxa"/>
            <w:tcMar>
              <w:left w:w="28" w:type="dxa"/>
              <w:right w:w="28" w:type="dxa"/>
            </w:tcMar>
            <w:vAlign w:val="center"/>
          </w:tcPr>
          <w:p w:rsidR="00593BED" w:rsidRDefault="006A3AE4" w:rsidP="00F06CE6">
            <w:pPr>
              <w:spacing w:after="0" w:line="240" w:lineRule="auto"/>
              <w:jc w:val="center"/>
              <w:rPr>
                <w:rFonts w:ascii="Arial" w:hAnsi="Arial" w:cs="Arial"/>
                <w:sz w:val="18"/>
                <w:szCs w:val="18"/>
              </w:rPr>
            </w:pPr>
            <w:r w:rsidRPr="00366692">
              <w:rPr>
                <w:rFonts w:ascii="Arial" w:hAnsi="Arial" w:cs="Arial"/>
                <w:sz w:val="18"/>
                <w:szCs w:val="18"/>
              </w:rPr>
              <w:t>Biancheri et al.</w:t>
            </w:r>
          </w:p>
          <w:p w:rsidR="00C81810"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[1]</w:t>
            </w:r>
          </w:p>
        </w:tc>
        <w:tc>
          <w:tcPr>
            <w:tcW w:w="1694" w:type="dxa"/>
            <w:tcMar>
              <w:left w:w="28" w:type="dxa"/>
              <w:right w:w="28" w:type="dxa"/>
            </w:tcMar>
            <w:vAlign w:val="center"/>
          </w:tcPr>
          <w:p w:rsidR="009C7E75" w:rsidRDefault="00C81810" w:rsidP="00F06CE6">
            <w:pPr>
              <w:spacing w:after="0" w:line="240" w:lineRule="auto"/>
              <w:jc w:val="center"/>
              <w:rPr>
                <w:rFonts w:ascii="Arial" w:hAnsi="Arial" w:cs="Arial"/>
                <w:sz w:val="18"/>
                <w:szCs w:val="18"/>
              </w:rPr>
            </w:pPr>
            <w:r w:rsidRPr="00366692">
              <w:rPr>
                <w:rFonts w:ascii="Arial" w:hAnsi="Arial" w:cs="Arial"/>
                <w:sz w:val="18"/>
                <w:szCs w:val="18"/>
              </w:rPr>
              <w:t>Henni</w:t>
            </w:r>
            <w:r w:rsidR="002820B9" w:rsidRPr="00366692">
              <w:rPr>
                <w:rFonts w:ascii="Arial" w:hAnsi="Arial" w:cs="Arial"/>
                <w:sz w:val="18"/>
                <w:szCs w:val="18"/>
              </w:rPr>
              <w:t>e</w:t>
            </w:r>
            <w:r w:rsidRPr="00366692">
              <w:rPr>
                <w:rFonts w:ascii="Arial" w:hAnsi="Arial" w:cs="Arial"/>
                <w:sz w:val="18"/>
                <w:szCs w:val="18"/>
              </w:rPr>
              <w:t xml:space="preserve">s </w:t>
            </w:r>
            <w:r w:rsidR="00593BED">
              <w:rPr>
                <w:rFonts w:ascii="Arial" w:hAnsi="Arial" w:cs="Arial"/>
                <w:sz w:val="18"/>
                <w:szCs w:val="18"/>
              </w:rPr>
              <w:t>et al.</w:t>
            </w:r>
          </w:p>
          <w:p w:rsidR="00E53D1A" w:rsidRDefault="001E1DEE" w:rsidP="00F06CE6">
            <w:pPr>
              <w:spacing w:after="0" w:line="240" w:lineRule="auto"/>
              <w:jc w:val="center"/>
              <w:rPr>
                <w:rFonts w:ascii="Arial" w:hAnsi="Arial" w:cs="Arial"/>
                <w:sz w:val="18"/>
                <w:szCs w:val="18"/>
              </w:rPr>
            </w:pPr>
            <w:r w:rsidRPr="00366692">
              <w:rPr>
                <w:rFonts w:ascii="Arial" w:hAnsi="Arial" w:cs="Arial"/>
                <w:sz w:val="18"/>
                <w:szCs w:val="18"/>
              </w:rPr>
              <w:t>[2]</w:t>
            </w:r>
          </w:p>
        </w:tc>
        <w:tc>
          <w:tcPr>
            <w:tcW w:w="1708" w:type="dxa"/>
            <w:tcMar>
              <w:left w:w="28" w:type="dxa"/>
              <w:right w:w="28" w:type="dxa"/>
            </w:tcMar>
            <w:vAlign w:val="center"/>
          </w:tcPr>
          <w:p w:rsidR="009C7E75" w:rsidRDefault="00C81810" w:rsidP="00F06CE6">
            <w:pPr>
              <w:spacing w:after="0" w:line="240" w:lineRule="auto"/>
              <w:jc w:val="center"/>
              <w:rPr>
                <w:rFonts w:ascii="Arial" w:hAnsi="Arial" w:cs="Arial"/>
                <w:sz w:val="18"/>
                <w:szCs w:val="18"/>
              </w:rPr>
            </w:pPr>
            <w:r w:rsidRPr="00366692">
              <w:rPr>
                <w:rFonts w:ascii="Arial" w:hAnsi="Arial" w:cs="Arial"/>
                <w:sz w:val="18"/>
                <w:szCs w:val="18"/>
              </w:rPr>
              <w:t xml:space="preserve">Chiefari </w:t>
            </w:r>
            <w:r w:rsidR="00593BED">
              <w:rPr>
                <w:rFonts w:ascii="Arial" w:hAnsi="Arial" w:cs="Arial"/>
                <w:sz w:val="18"/>
                <w:szCs w:val="18"/>
              </w:rPr>
              <w:t>et al.</w:t>
            </w:r>
          </w:p>
          <w:p w:rsidR="00E53D1A" w:rsidRDefault="001E1DEE" w:rsidP="00F06CE6">
            <w:pPr>
              <w:spacing w:after="0" w:line="240" w:lineRule="auto"/>
              <w:jc w:val="center"/>
              <w:rPr>
                <w:rFonts w:ascii="Arial" w:hAnsi="Arial" w:cs="Arial"/>
                <w:sz w:val="18"/>
                <w:szCs w:val="18"/>
              </w:rPr>
            </w:pPr>
            <w:r w:rsidRPr="00366692">
              <w:rPr>
                <w:rFonts w:ascii="Arial" w:hAnsi="Arial" w:cs="Arial"/>
                <w:sz w:val="18"/>
                <w:szCs w:val="18"/>
              </w:rPr>
              <w:t>[3]</w:t>
            </w:r>
          </w:p>
        </w:tc>
        <w:tc>
          <w:tcPr>
            <w:tcW w:w="1466" w:type="dxa"/>
            <w:tcMar>
              <w:left w:w="28" w:type="dxa"/>
              <w:right w:w="28" w:type="dxa"/>
            </w:tcMar>
            <w:vAlign w:val="center"/>
          </w:tcPr>
          <w:p w:rsidR="009C7E75" w:rsidRDefault="00C81810" w:rsidP="00F06CE6">
            <w:pPr>
              <w:spacing w:after="0" w:line="240" w:lineRule="auto"/>
              <w:jc w:val="center"/>
              <w:rPr>
                <w:rFonts w:ascii="Arial" w:hAnsi="Arial" w:cs="Arial"/>
                <w:sz w:val="18"/>
                <w:szCs w:val="18"/>
              </w:rPr>
            </w:pPr>
            <w:r w:rsidRPr="00366692">
              <w:rPr>
                <w:rFonts w:ascii="Arial" w:hAnsi="Arial" w:cs="Arial"/>
                <w:sz w:val="18"/>
                <w:szCs w:val="18"/>
              </w:rPr>
              <w:t xml:space="preserve">Fuccio </w:t>
            </w:r>
            <w:r w:rsidR="00593BED">
              <w:rPr>
                <w:rFonts w:ascii="Arial" w:hAnsi="Arial" w:cs="Arial"/>
                <w:sz w:val="18"/>
                <w:szCs w:val="18"/>
              </w:rPr>
              <w:t>et al.</w:t>
            </w:r>
          </w:p>
          <w:p w:rsidR="00E53D1A" w:rsidRDefault="001E1DEE" w:rsidP="00F06CE6">
            <w:pPr>
              <w:spacing w:after="0" w:line="240" w:lineRule="auto"/>
              <w:jc w:val="center"/>
              <w:rPr>
                <w:rFonts w:ascii="Arial" w:hAnsi="Arial" w:cs="Arial"/>
                <w:sz w:val="18"/>
                <w:szCs w:val="18"/>
              </w:rPr>
            </w:pPr>
            <w:r w:rsidRPr="00366692">
              <w:rPr>
                <w:rFonts w:ascii="Arial" w:hAnsi="Arial" w:cs="Arial"/>
                <w:sz w:val="18"/>
                <w:szCs w:val="18"/>
              </w:rPr>
              <w:t>[4]</w:t>
            </w:r>
          </w:p>
        </w:tc>
        <w:tc>
          <w:tcPr>
            <w:tcW w:w="1587" w:type="dxa"/>
            <w:tcMar>
              <w:left w:w="28" w:type="dxa"/>
              <w:right w:w="28" w:type="dxa"/>
            </w:tcMar>
            <w:vAlign w:val="center"/>
          </w:tcPr>
          <w:p w:rsidR="009C7E75" w:rsidRDefault="00C81810" w:rsidP="00F06CE6">
            <w:pPr>
              <w:spacing w:after="0" w:line="240" w:lineRule="auto"/>
              <w:jc w:val="center"/>
              <w:rPr>
                <w:rFonts w:ascii="Arial" w:hAnsi="Arial" w:cs="Arial"/>
                <w:sz w:val="18"/>
                <w:szCs w:val="18"/>
              </w:rPr>
            </w:pPr>
            <w:r w:rsidRPr="00366692">
              <w:rPr>
                <w:rFonts w:ascii="Arial" w:hAnsi="Arial" w:cs="Arial"/>
                <w:sz w:val="18"/>
                <w:szCs w:val="18"/>
              </w:rPr>
              <w:t xml:space="preserve">Tappino </w:t>
            </w:r>
            <w:r w:rsidR="00593BED">
              <w:rPr>
                <w:rFonts w:ascii="Arial" w:hAnsi="Arial" w:cs="Arial"/>
                <w:sz w:val="18"/>
                <w:szCs w:val="18"/>
              </w:rPr>
              <w:t>et al.</w:t>
            </w:r>
          </w:p>
          <w:p w:rsidR="00E53D1A" w:rsidRDefault="001E1DEE" w:rsidP="00F06CE6">
            <w:pPr>
              <w:spacing w:after="0" w:line="240" w:lineRule="auto"/>
              <w:jc w:val="center"/>
              <w:rPr>
                <w:rFonts w:ascii="Arial" w:hAnsi="Arial" w:cs="Arial"/>
                <w:sz w:val="18"/>
                <w:szCs w:val="18"/>
              </w:rPr>
            </w:pPr>
            <w:r w:rsidRPr="00366692">
              <w:rPr>
                <w:rFonts w:ascii="Arial" w:hAnsi="Arial" w:cs="Arial"/>
                <w:sz w:val="18"/>
                <w:szCs w:val="18"/>
              </w:rPr>
              <w:t>[5]</w:t>
            </w:r>
          </w:p>
        </w:tc>
        <w:tc>
          <w:tcPr>
            <w:tcW w:w="1587" w:type="dxa"/>
            <w:tcMar>
              <w:left w:w="28" w:type="dxa"/>
              <w:right w:w="28" w:type="dxa"/>
            </w:tcMar>
            <w:vAlign w:val="center"/>
          </w:tcPr>
          <w:p w:rsidR="00C81810" w:rsidRPr="00366692" w:rsidRDefault="00C81810" w:rsidP="00F06CE6">
            <w:pPr>
              <w:spacing w:after="0" w:line="240" w:lineRule="auto"/>
              <w:jc w:val="center"/>
              <w:rPr>
                <w:rFonts w:ascii="Arial" w:hAnsi="Arial" w:cs="Arial"/>
                <w:sz w:val="18"/>
                <w:szCs w:val="18"/>
              </w:rPr>
            </w:pPr>
            <w:bookmarkStart w:id="0" w:name="_Hlk358125262"/>
            <w:r w:rsidRPr="00366692">
              <w:rPr>
                <w:rFonts w:ascii="Arial" w:hAnsi="Arial" w:cs="Arial"/>
                <w:sz w:val="18"/>
                <w:szCs w:val="18"/>
              </w:rPr>
              <w:t xml:space="preserve">Porto </w:t>
            </w:r>
            <w:r w:rsidR="00593BED">
              <w:rPr>
                <w:rFonts w:ascii="Arial" w:hAnsi="Arial" w:cs="Arial"/>
                <w:sz w:val="18"/>
                <w:szCs w:val="18"/>
              </w:rPr>
              <w:t>et al.</w:t>
            </w:r>
          </w:p>
          <w:bookmarkEnd w:id="0"/>
          <w:p w:rsidR="00D4509D" w:rsidRPr="00366692" w:rsidRDefault="001E1DEE" w:rsidP="00A23D9D">
            <w:pPr>
              <w:spacing w:after="0" w:line="240" w:lineRule="auto"/>
              <w:jc w:val="center"/>
              <w:rPr>
                <w:rFonts w:ascii="Arial" w:hAnsi="Arial" w:cs="Arial"/>
                <w:sz w:val="18"/>
                <w:szCs w:val="18"/>
              </w:rPr>
            </w:pPr>
            <w:r w:rsidRPr="00366692">
              <w:rPr>
                <w:rFonts w:ascii="Arial" w:hAnsi="Arial" w:cs="Arial"/>
                <w:sz w:val="18"/>
                <w:szCs w:val="18"/>
              </w:rPr>
              <w:t>[6]</w:t>
            </w:r>
          </w:p>
        </w:tc>
        <w:tc>
          <w:tcPr>
            <w:tcW w:w="1587" w:type="dxa"/>
            <w:tcMar>
              <w:left w:w="28" w:type="dxa"/>
              <w:right w:w="28" w:type="dxa"/>
            </w:tcMar>
            <w:vAlign w:val="center"/>
          </w:tcPr>
          <w:p w:rsidR="009C7E75" w:rsidRDefault="00C81810" w:rsidP="00F06CE6">
            <w:pPr>
              <w:spacing w:after="0" w:line="240" w:lineRule="auto"/>
              <w:ind w:left="1" w:firstLine="8"/>
              <w:jc w:val="center"/>
              <w:rPr>
                <w:rFonts w:ascii="Arial" w:hAnsi="Arial" w:cs="Arial"/>
                <w:sz w:val="18"/>
                <w:szCs w:val="18"/>
                <w:lang w:val="en-US"/>
              </w:rPr>
            </w:pPr>
            <w:r w:rsidRPr="00366692">
              <w:rPr>
                <w:rFonts w:ascii="Arial" w:hAnsi="Arial" w:cs="Arial"/>
                <w:sz w:val="18"/>
                <w:szCs w:val="18"/>
              </w:rPr>
              <w:t xml:space="preserve">Santamaria </w:t>
            </w:r>
            <w:r w:rsidR="00593BED">
              <w:rPr>
                <w:rFonts w:ascii="Arial" w:hAnsi="Arial" w:cs="Arial"/>
                <w:sz w:val="18"/>
                <w:szCs w:val="18"/>
              </w:rPr>
              <w:t>et al.</w:t>
            </w:r>
          </w:p>
          <w:p w:rsidR="00C81810" w:rsidRPr="00366692" w:rsidRDefault="001E1DEE" w:rsidP="00A23D9D">
            <w:pPr>
              <w:spacing w:after="0" w:line="240" w:lineRule="auto"/>
              <w:ind w:left="1" w:firstLine="8"/>
              <w:jc w:val="center"/>
              <w:rPr>
                <w:rFonts w:ascii="Arial" w:hAnsi="Arial" w:cs="Arial"/>
                <w:sz w:val="18"/>
                <w:szCs w:val="18"/>
                <w:lang w:val="en-US"/>
              </w:rPr>
            </w:pPr>
            <w:r w:rsidRPr="00602141">
              <w:rPr>
                <w:rFonts w:ascii="Arial" w:hAnsi="Arial" w:cs="Arial"/>
                <w:sz w:val="18"/>
                <w:szCs w:val="18"/>
              </w:rPr>
              <w:t>[7]</w:t>
            </w:r>
          </w:p>
        </w:tc>
        <w:tc>
          <w:tcPr>
            <w:tcW w:w="1701" w:type="dxa"/>
            <w:tcMar>
              <w:left w:w="28" w:type="dxa"/>
              <w:right w:w="28" w:type="dxa"/>
            </w:tcMar>
            <w:vAlign w:val="center"/>
          </w:tcPr>
          <w:p w:rsidR="009C7E75" w:rsidRDefault="000540AD" w:rsidP="00F06CE6">
            <w:pPr>
              <w:spacing w:after="0" w:line="240" w:lineRule="auto"/>
              <w:jc w:val="center"/>
              <w:rPr>
                <w:rFonts w:ascii="Arial" w:hAnsi="Arial" w:cs="Arial"/>
                <w:bCs/>
                <w:sz w:val="18"/>
                <w:szCs w:val="18"/>
                <w:lang w:val="en-US"/>
              </w:rPr>
            </w:pPr>
            <w:r w:rsidRPr="00602141">
              <w:rPr>
                <w:rFonts w:ascii="Arial" w:hAnsi="Arial" w:cs="Arial"/>
                <w:sz w:val="18"/>
                <w:szCs w:val="18"/>
              </w:rPr>
              <w:t>*</w:t>
            </w:r>
            <w:r w:rsidRPr="00602141">
              <w:rPr>
                <w:rFonts w:ascii="Arial" w:hAnsi="Arial" w:cs="Arial"/>
                <w:bCs/>
                <w:sz w:val="18"/>
                <w:szCs w:val="18"/>
                <w:lang w:val="en-US"/>
              </w:rPr>
              <w:t xml:space="preserve">Caiazzo </w:t>
            </w:r>
            <w:r w:rsidR="00593BED">
              <w:rPr>
                <w:rFonts w:ascii="Arial" w:hAnsi="Arial" w:cs="Arial"/>
                <w:bCs/>
                <w:sz w:val="18"/>
                <w:szCs w:val="18"/>
                <w:lang w:val="en-US"/>
              </w:rPr>
              <w:t>et al.</w:t>
            </w:r>
          </w:p>
          <w:p w:rsidR="00C81810" w:rsidRPr="00602141" w:rsidRDefault="001E1DEE" w:rsidP="00A23D9D">
            <w:pPr>
              <w:spacing w:after="0" w:line="240" w:lineRule="auto"/>
              <w:jc w:val="center"/>
              <w:rPr>
                <w:rFonts w:ascii="Arial" w:hAnsi="Arial" w:cs="Arial"/>
                <w:sz w:val="18"/>
                <w:szCs w:val="18"/>
                <w:lang w:val="en-GB"/>
              </w:rPr>
            </w:pPr>
            <w:r w:rsidRPr="00366692">
              <w:rPr>
                <w:rFonts w:ascii="Arial" w:hAnsi="Arial" w:cs="Arial"/>
                <w:sz w:val="18"/>
                <w:szCs w:val="18"/>
              </w:rPr>
              <w:t>[8]</w:t>
            </w: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lang w:val="en-GB"/>
              </w:rPr>
            </w:pPr>
            <w:r w:rsidRPr="00366692">
              <w:rPr>
                <w:rFonts w:ascii="Arial" w:eastAsia="Calibri" w:hAnsi="Arial" w:cs="Arial"/>
                <w:color w:val="000000"/>
                <w:kern w:val="24"/>
                <w:sz w:val="18"/>
                <w:szCs w:val="18"/>
                <w:lang w:val="en-GB"/>
              </w:rPr>
              <w:t>GGB</w:t>
            </w:r>
          </w:p>
        </w:tc>
        <w:tc>
          <w:tcPr>
            <w:tcW w:w="1701" w:type="dxa"/>
            <w:tcMar>
              <w:left w:w="28" w:type="dxa"/>
              <w:right w:w="28" w:type="dxa"/>
            </w:tcMar>
            <w:vAlign w:val="center"/>
          </w:tcPr>
          <w:p w:rsidR="009C7E75" w:rsidRDefault="004338A1" w:rsidP="00F06CE6">
            <w:pPr>
              <w:spacing w:after="0" w:line="240" w:lineRule="auto"/>
              <w:jc w:val="center"/>
              <w:rPr>
                <w:rFonts w:ascii="Arial" w:hAnsi="Arial" w:cs="Arial"/>
                <w:sz w:val="18"/>
                <w:szCs w:val="18"/>
              </w:rPr>
            </w:pPr>
            <w:r w:rsidRPr="004338A1">
              <w:rPr>
                <w:rFonts w:ascii="Arial" w:hAnsi="Arial" w:cs="Arial"/>
                <w:sz w:val="18"/>
                <w:szCs w:val="18"/>
              </w:rPr>
              <w:t>Nikkel</w:t>
            </w:r>
            <w:r w:rsidR="002820B9" w:rsidRPr="00366692">
              <w:rPr>
                <w:rFonts w:ascii="Arial" w:hAnsi="Arial" w:cs="Arial"/>
                <w:sz w:val="18"/>
                <w:szCs w:val="18"/>
              </w:rPr>
              <w:t xml:space="preserve"> </w:t>
            </w:r>
            <w:r w:rsidR="00593BED">
              <w:rPr>
                <w:rFonts w:ascii="Arial" w:hAnsi="Arial" w:cs="Arial"/>
                <w:sz w:val="18"/>
                <w:szCs w:val="18"/>
              </w:rPr>
              <w:t>et al.</w:t>
            </w:r>
          </w:p>
          <w:p w:rsidR="00802619" w:rsidRPr="00366692" w:rsidRDefault="001E1DEE" w:rsidP="00A23D9D">
            <w:pPr>
              <w:spacing w:after="0" w:line="240" w:lineRule="auto"/>
              <w:jc w:val="center"/>
              <w:rPr>
                <w:rFonts w:ascii="Arial" w:hAnsi="Arial" w:cs="Arial"/>
                <w:sz w:val="18"/>
                <w:szCs w:val="18"/>
                <w:lang w:val="en-GB"/>
              </w:rPr>
            </w:pPr>
            <w:r w:rsidRPr="00366692">
              <w:rPr>
                <w:rFonts w:ascii="Arial" w:hAnsi="Arial" w:cs="Arial"/>
                <w:sz w:val="18"/>
                <w:szCs w:val="18"/>
              </w:rPr>
              <w:t>[9]</w:t>
            </w:r>
          </w:p>
        </w:tc>
        <w:tc>
          <w:tcPr>
            <w:tcW w:w="1694"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c>
          <w:tcPr>
            <w:tcW w:w="1708" w:type="dxa"/>
            <w:tcMar>
              <w:left w:w="28" w:type="dxa"/>
              <w:right w:w="28" w:type="dxa"/>
            </w:tcMar>
            <w:vAlign w:val="center"/>
          </w:tcPr>
          <w:p w:rsidR="009C7E75" w:rsidRDefault="002820B9" w:rsidP="00F06CE6">
            <w:pPr>
              <w:spacing w:after="0" w:line="240" w:lineRule="auto"/>
              <w:jc w:val="center"/>
              <w:rPr>
                <w:rFonts w:ascii="Arial" w:hAnsi="Arial" w:cs="Arial"/>
                <w:sz w:val="18"/>
                <w:szCs w:val="18"/>
              </w:rPr>
            </w:pPr>
            <w:r w:rsidRPr="00366692">
              <w:rPr>
                <w:rFonts w:ascii="Arial" w:hAnsi="Arial" w:cs="Arial"/>
                <w:sz w:val="18"/>
                <w:szCs w:val="18"/>
              </w:rPr>
              <w:t xml:space="preserve">De Vita </w:t>
            </w:r>
            <w:r w:rsidR="00593BED">
              <w:rPr>
                <w:rFonts w:ascii="Arial" w:hAnsi="Arial" w:cs="Arial"/>
                <w:sz w:val="18"/>
                <w:szCs w:val="18"/>
              </w:rPr>
              <w:t>et al.</w:t>
            </w:r>
          </w:p>
          <w:p w:rsidR="00802619" w:rsidRPr="00366692" w:rsidRDefault="001E1DEE" w:rsidP="00A23D9D">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0]</w:t>
            </w:r>
          </w:p>
        </w:tc>
        <w:tc>
          <w:tcPr>
            <w:tcW w:w="1466" w:type="dxa"/>
            <w:tcMar>
              <w:left w:w="28" w:type="dxa"/>
              <w:right w:w="28" w:type="dxa"/>
            </w:tcMar>
            <w:vAlign w:val="center"/>
          </w:tcPr>
          <w:p w:rsidR="009C7E75" w:rsidRDefault="002820B9" w:rsidP="00F06CE6">
            <w:pPr>
              <w:spacing w:after="0" w:line="240" w:lineRule="auto"/>
              <w:jc w:val="center"/>
              <w:rPr>
                <w:rFonts w:ascii="Arial" w:hAnsi="Arial" w:cs="Arial"/>
                <w:sz w:val="18"/>
                <w:szCs w:val="18"/>
              </w:rPr>
            </w:pPr>
            <w:r w:rsidRPr="00366692">
              <w:rPr>
                <w:rFonts w:ascii="Arial" w:hAnsi="Arial" w:cs="Arial"/>
                <w:sz w:val="18"/>
                <w:szCs w:val="18"/>
              </w:rPr>
              <w:t xml:space="preserve">Sessarego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1</w:t>
            </w:r>
            <w:r>
              <w:rPr>
                <w:rFonts w:ascii="Arial" w:hAnsi="Arial" w:cs="Arial"/>
                <w:sz w:val="18"/>
                <w:szCs w:val="18"/>
              </w:rPr>
              <w:t>]</w:t>
            </w:r>
          </w:p>
        </w:tc>
        <w:tc>
          <w:tcPr>
            <w:tcW w:w="1587" w:type="dxa"/>
            <w:tcMar>
              <w:left w:w="28" w:type="dxa"/>
              <w:right w:w="28" w:type="dxa"/>
            </w:tcMar>
            <w:vAlign w:val="center"/>
          </w:tcPr>
          <w:p w:rsidR="009C7E75" w:rsidRDefault="002820B9" w:rsidP="00F06CE6">
            <w:pPr>
              <w:spacing w:after="0" w:line="240" w:lineRule="auto"/>
              <w:jc w:val="center"/>
              <w:rPr>
                <w:rFonts w:ascii="Arial" w:hAnsi="Arial" w:cs="Arial"/>
                <w:sz w:val="18"/>
                <w:szCs w:val="18"/>
              </w:rPr>
            </w:pPr>
            <w:r w:rsidRPr="00366692">
              <w:rPr>
                <w:rFonts w:ascii="Arial" w:hAnsi="Arial" w:cs="Arial"/>
                <w:sz w:val="18"/>
                <w:szCs w:val="18"/>
              </w:rPr>
              <w:t xml:space="preserve">Colombo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2]</w:t>
            </w:r>
          </w:p>
        </w:tc>
        <w:tc>
          <w:tcPr>
            <w:tcW w:w="1587" w:type="dxa"/>
            <w:tcMar>
              <w:left w:w="28" w:type="dxa"/>
              <w:right w:w="28" w:type="dxa"/>
            </w:tcMar>
            <w:vAlign w:val="center"/>
          </w:tcPr>
          <w:p w:rsidR="009C7E75" w:rsidRDefault="00884938" w:rsidP="00F06CE6">
            <w:pPr>
              <w:spacing w:after="0" w:line="240" w:lineRule="auto"/>
              <w:jc w:val="center"/>
              <w:rPr>
                <w:rFonts w:ascii="Arial" w:hAnsi="Arial" w:cs="Arial"/>
                <w:sz w:val="18"/>
                <w:szCs w:val="18"/>
              </w:rPr>
            </w:pPr>
            <w:r w:rsidRPr="00366692">
              <w:rPr>
                <w:rFonts w:ascii="Arial" w:hAnsi="Arial" w:cs="Arial"/>
                <w:sz w:val="18"/>
                <w:szCs w:val="18"/>
              </w:rPr>
              <w:t xml:space="preserve">Passerini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3]</w:t>
            </w:r>
          </w:p>
        </w:tc>
        <w:tc>
          <w:tcPr>
            <w:tcW w:w="1587" w:type="dxa"/>
            <w:tcMar>
              <w:left w:w="28" w:type="dxa"/>
              <w:right w:w="28" w:type="dxa"/>
            </w:tcMar>
            <w:vAlign w:val="center"/>
          </w:tcPr>
          <w:p w:rsidR="009C7E75" w:rsidRDefault="002820B9" w:rsidP="00F06CE6">
            <w:pPr>
              <w:spacing w:after="0" w:line="240" w:lineRule="auto"/>
              <w:ind w:left="1" w:firstLine="8"/>
              <w:jc w:val="center"/>
              <w:rPr>
                <w:rFonts w:ascii="Arial" w:hAnsi="Arial" w:cs="Arial"/>
                <w:sz w:val="18"/>
                <w:szCs w:val="18"/>
              </w:rPr>
            </w:pPr>
            <w:r w:rsidRPr="00366692">
              <w:rPr>
                <w:rFonts w:ascii="Arial" w:hAnsi="Arial" w:cs="Arial"/>
                <w:sz w:val="18"/>
                <w:szCs w:val="18"/>
              </w:rPr>
              <w:t xml:space="preserve">Madia </w:t>
            </w:r>
            <w:r w:rsidR="00593BED">
              <w:rPr>
                <w:rFonts w:ascii="Arial" w:hAnsi="Arial" w:cs="Arial"/>
                <w:sz w:val="18"/>
                <w:szCs w:val="18"/>
              </w:rPr>
              <w:t>et al.</w:t>
            </w:r>
          </w:p>
          <w:p w:rsidR="00802619" w:rsidRPr="00366692" w:rsidRDefault="001E1DEE" w:rsidP="00F06CE6">
            <w:pPr>
              <w:spacing w:after="0" w:line="240" w:lineRule="auto"/>
              <w:ind w:left="1" w:firstLine="8"/>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4]</w:t>
            </w:r>
          </w:p>
        </w:tc>
        <w:tc>
          <w:tcPr>
            <w:tcW w:w="1701" w:type="dxa"/>
            <w:tcMar>
              <w:left w:w="28" w:type="dxa"/>
              <w:right w:w="28" w:type="dxa"/>
            </w:tcMar>
            <w:vAlign w:val="center"/>
          </w:tcPr>
          <w:p w:rsidR="009C7E75" w:rsidRDefault="002820B9" w:rsidP="00F06CE6">
            <w:pPr>
              <w:spacing w:after="0" w:line="240" w:lineRule="auto"/>
              <w:jc w:val="center"/>
              <w:rPr>
                <w:rFonts w:ascii="Arial" w:hAnsi="Arial" w:cs="Arial"/>
                <w:sz w:val="18"/>
                <w:szCs w:val="18"/>
              </w:rPr>
            </w:pPr>
            <w:r w:rsidRPr="00602141">
              <w:rPr>
                <w:rFonts w:ascii="Arial" w:hAnsi="Arial" w:cs="Arial"/>
                <w:sz w:val="18"/>
                <w:szCs w:val="18"/>
              </w:rPr>
              <w:t xml:space="preserve">Teodolinda </w:t>
            </w:r>
            <w:r w:rsidR="00593BED">
              <w:rPr>
                <w:rFonts w:ascii="Arial" w:hAnsi="Arial" w:cs="Arial"/>
                <w:sz w:val="18"/>
                <w:szCs w:val="18"/>
              </w:rPr>
              <w:t>et al.</w:t>
            </w:r>
          </w:p>
          <w:p w:rsidR="00802619" w:rsidRPr="00602141"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5]</w:t>
            </w: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rPr>
            </w:pPr>
            <w:r w:rsidRPr="00366692">
              <w:rPr>
                <w:rFonts w:ascii="Arial" w:eastAsia="Calibri" w:hAnsi="Arial" w:cs="Arial"/>
                <w:color w:val="000000"/>
                <w:kern w:val="24"/>
                <w:sz w:val="18"/>
                <w:szCs w:val="18"/>
              </w:rPr>
              <w:t>BPI</w:t>
            </w:r>
          </w:p>
        </w:tc>
        <w:tc>
          <w:tcPr>
            <w:tcW w:w="1701" w:type="dxa"/>
            <w:tcMar>
              <w:left w:w="28" w:type="dxa"/>
              <w:right w:w="28" w:type="dxa"/>
            </w:tcMar>
            <w:vAlign w:val="center"/>
          </w:tcPr>
          <w:p w:rsidR="009C7E75" w:rsidRDefault="007979AD" w:rsidP="00F06CE6">
            <w:pPr>
              <w:spacing w:after="0" w:line="240" w:lineRule="auto"/>
              <w:jc w:val="center"/>
              <w:rPr>
                <w:rFonts w:ascii="Arial" w:hAnsi="Arial" w:cs="Arial"/>
                <w:sz w:val="18"/>
                <w:szCs w:val="18"/>
              </w:rPr>
            </w:pPr>
            <w:r>
              <w:rPr>
                <w:rFonts w:ascii="Arial" w:hAnsi="Arial" w:cs="Arial"/>
                <w:sz w:val="18"/>
                <w:szCs w:val="18"/>
              </w:rPr>
              <w:t xml:space="preserve">Cilia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6]</w:t>
            </w:r>
          </w:p>
        </w:tc>
        <w:tc>
          <w:tcPr>
            <w:tcW w:w="1694" w:type="dxa"/>
            <w:tcMar>
              <w:left w:w="28" w:type="dxa"/>
              <w:right w:w="28" w:type="dxa"/>
            </w:tcMar>
            <w:vAlign w:val="center"/>
          </w:tcPr>
          <w:p w:rsidR="009C7E75" w:rsidRDefault="00366692" w:rsidP="00F06CE6">
            <w:pPr>
              <w:spacing w:after="0" w:line="240" w:lineRule="auto"/>
              <w:jc w:val="center"/>
              <w:rPr>
                <w:rFonts w:ascii="Arial" w:hAnsi="Arial" w:cs="Arial"/>
                <w:sz w:val="18"/>
                <w:szCs w:val="18"/>
              </w:rPr>
            </w:pPr>
            <w:r w:rsidRPr="007979AD">
              <w:rPr>
                <w:rFonts w:ascii="Arial" w:hAnsi="Arial" w:cs="Arial"/>
                <w:bCs/>
                <w:sz w:val="18"/>
                <w:szCs w:val="18"/>
                <w:lang w:val="en-US"/>
              </w:rPr>
              <w:t>Lautier</w:t>
            </w:r>
            <w:r w:rsidRPr="007979AD">
              <w:rPr>
                <w:rFonts w:ascii="Arial" w:hAnsi="Arial" w:cs="Arial"/>
                <w:sz w:val="18"/>
                <w:szCs w:val="18"/>
              </w:rPr>
              <w:t xml:space="preserve">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7]</w:t>
            </w:r>
          </w:p>
        </w:tc>
        <w:tc>
          <w:tcPr>
            <w:tcW w:w="1708" w:type="dxa"/>
            <w:tcMar>
              <w:left w:w="28" w:type="dxa"/>
              <w:right w:w="28" w:type="dxa"/>
            </w:tcMar>
            <w:vAlign w:val="center"/>
          </w:tcPr>
          <w:p w:rsidR="009C7E75" w:rsidRDefault="00602141" w:rsidP="00F06CE6">
            <w:pPr>
              <w:spacing w:after="0" w:line="240" w:lineRule="auto"/>
              <w:jc w:val="center"/>
              <w:rPr>
                <w:rFonts w:ascii="Arial" w:hAnsi="Arial" w:cs="Arial"/>
                <w:sz w:val="18"/>
                <w:szCs w:val="18"/>
              </w:rPr>
            </w:pPr>
            <w:r>
              <w:rPr>
                <w:rFonts w:ascii="Arial" w:hAnsi="Arial" w:cs="Arial"/>
                <w:sz w:val="18"/>
                <w:szCs w:val="18"/>
              </w:rPr>
              <w:t>*</w:t>
            </w:r>
            <w:r w:rsidR="007979AD">
              <w:rPr>
                <w:rFonts w:ascii="Arial" w:hAnsi="Arial" w:cs="Arial"/>
                <w:sz w:val="18"/>
                <w:szCs w:val="18"/>
              </w:rPr>
              <w:t xml:space="preserve">Cartelli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8]</w:t>
            </w:r>
          </w:p>
        </w:tc>
        <w:tc>
          <w:tcPr>
            <w:tcW w:w="1466"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rPr>
            </w:pPr>
          </w:p>
        </w:tc>
        <w:tc>
          <w:tcPr>
            <w:tcW w:w="1587" w:type="dxa"/>
            <w:tcMar>
              <w:left w:w="28" w:type="dxa"/>
              <w:right w:w="28" w:type="dxa"/>
            </w:tcMar>
            <w:vAlign w:val="center"/>
          </w:tcPr>
          <w:p w:rsidR="009C7E75" w:rsidRDefault="007979AD" w:rsidP="00F06CE6">
            <w:pPr>
              <w:spacing w:after="0" w:line="240" w:lineRule="auto"/>
              <w:jc w:val="center"/>
              <w:rPr>
                <w:rFonts w:ascii="Arial" w:hAnsi="Arial" w:cs="Arial"/>
                <w:sz w:val="18"/>
                <w:szCs w:val="18"/>
              </w:rPr>
            </w:pPr>
            <w:r>
              <w:rPr>
                <w:rFonts w:ascii="Arial" w:hAnsi="Arial" w:cs="Arial"/>
                <w:sz w:val="18"/>
                <w:szCs w:val="18"/>
              </w:rPr>
              <w:t xml:space="preserve">Healy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1</w:t>
            </w:r>
            <w:r w:rsidRPr="00366692">
              <w:rPr>
                <w:rFonts w:ascii="Arial" w:hAnsi="Arial" w:cs="Arial"/>
                <w:sz w:val="18"/>
                <w:szCs w:val="18"/>
              </w:rPr>
              <w:t>9]</w:t>
            </w:r>
          </w:p>
        </w:tc>
        <w:tc>
          <w:tcPr>
            <w:tcW w:w="1587"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rPr>
            </w:pPr>
          </w:p>
        </w:tc>
        <w:tc>
          <w:tcPr>
            <w:tcW w:w="1587" w:type="dxa"/>
            <w:tcMar>
              <w:left w:w="28" w:type="dxa"/>
              <w:right w:w="28" w:type="dxa"/>
            </w:tcMar>
            <w:vAlign w:val="center"/>
          </w:tcPr>
          <w:p w:rsidR="009C7E75" w:rsidRDefault="00366692" w:rsidP="00F06CE6">
            <w:pPr>
              <w:spacing w:after="0" w:line="240" w:lineRule="auto"/>
              <w:ind w:left="1" w:firstLine="8"/>
              <w:jc w:val="center"/>
              <w:rPr>
                <w:rFonts w:ascii="Arial" w:hAnsi="Arial" w:cs="Arial"/>
                <w:sz w:val="18"/>
                <w:szCs w:val="18"/>
              </w:rPr>
            </w:pPr>
            <w:r w:rsidRPr="00366692">
              <w:rPr>
                <w:rFonts w:ascii="Arial" w:hAnsi="Arial" w:cs="Arial"/>
                <w:sz w:val="18"/>
                <w:szCs w:val="18"/>
              </w:rPr>
              <w:t xml:space="preserve"> </w:t>
            </w:r>
            <w:r w:rsidR="007979AD" w:rsidRPr="00D613A3">
              <w:rPr>
                <w:rFonts w:ascii="Arial" w:hAnsi="Arial" w:cs="Arial"/>
                <w:sz w:val="18"/>
                <w:szCs w:val="18"/>
              </w:rPr>
              <w:t>Höglinger</w:t>
            </w:r>
            <w:r w:rsidR="007979AD">
              <w:rPr>
                <w:rFonts w:ascii="Arial" w:hAnsi="Arial" w:cs="Arial"/>
                <w:sz w:val="18"/>
                <w:szCs w:val="18"/>
              </w:rPr>
              <w:t xml:space="preserve"> </w:t>
            </w:r>
            <w:r w:rsidR="00593BED">
              <w:rPr>
                <w:rFonts w:ascii="Arial" w:hAnsi="Arial" w:cs="Arial"/>
                <w:sz w:val="18"/>
                <w:szCs w:val="18"/>
              </w:rPr>
              <w:t>et al.</w:t>
            </w:r>
          </w:p>
          <w:p w:rsidR="00802619" w:rsidRPr="00366692" w:rsidRDefault="001E1DEE" w:rsidP="00F06CE6">
            <w:pPr>
              <w:spacing w:after="0" w:line="240" w:lineRule="auto"/>
              <w:ind w:left="1" w:firstLine="8"/>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0]</w:t>
            </w:r>
          </w:p>
        </w:tc>
        <w:tc>
          <w:tcPr>
            <w:tcW w:w="1701" w:type="dxa"/>
            <w:tcMar>
              <w:left w:w="28" w:type="dxa"/>
              <w:right w:w="28" w:type="dxa"/>
            </w:tcMar>
            <w:vAlign w:val="center"/>
          </w:tcPr>
          <w:p w:rsidR="009C7E75" w:rsidRDefault="007979AD" w:rsidP="00F06CE6">
            <w:pPr>
              <w:spacing w:after="0" w:line="240" w:lineRule="auto"/>
              <w:jc w:val="center"/>
              <w:rPr>
                <w:rFonts w:ascii="Arial" w:hAnsi="Arial" w:cs="Arial"/>
                <w:sz w:val="18"/>
                <w:szCs w:val="18"/>
                <w:lang w:val="en-GB"/>
              </w:rPr>
            </w:pPr>
            <w:r w:rsidRPr="00602141">
              <w:rPr>
                <w:rFonts w:ascii="Arial" w:hAnsi="Arial" w:cs="Arial"/>
                <w:sz w:val="18"/>
                <w:szCs w:val="18"/>
                <w:lang w:val="en-GB"/>
              </w:rPr>
              <w:t xml:space="preserve">*Liu </w:t>
            </w:r>
            <w:r w:rsidR="00593BED">
              <w:rPr>
                <w:rFonts w:ascii="Arial" w:hAnsi="Arial" w:cs="Arial"/>
                <w:sz w:val="18"/>
                <w:szCs w:val="18"/>
                <w:lang w:val="en-GB"/>
              </w:rPr>
              <w:t>et al.</w:t>
            </w:r>
          </w:p>
          <w:p w:rsidR="00802619" w:rsidRPr="00602141"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1]</w:t>
            </w: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rPr>
            </w:pPr>
            <w:r w:rsidRPr="00366692">
              <w:rPr>
                <w:rFonts w:ascii="Arial" w:eastAsia="Calibri" w:hAnsi="Arial" w:cs="Arial"/>
                <w:color w:val="000000"/>
                <w:kern w:val="24"/>
                <w:sz w:val="18"/>
                <w:szCs w:val="18"/>
              </w:rPr>
              <w:t>biobankUNISI</w:t>
            </w:r>
          </w:p>
        </w:tc>
        <w:tc>
          <w:tcPr>
            <w:tcW w:w="1701" w:type="dxa"/>
            <w:tcMar>
              <w:left w:w="28" w:type="dxa"/>
              <w:right w:w="28" w:type="dxa"/>
            </w:tcMar>
            <w:vAlign w:val="center"/>
          </w:tcPr>
          <w:p w:rsidR="009C7E75" w:rsidRDefault="00802619" w:rsidP="00F06CE6">
            <w:pPr>
              <w:spacing w:after="0" w:line="240" w:lineRule="auto"/>
              <w:jc w:val="center"/>
              <w:rPr>
                <w:rFonts w:ascii="Arial" w:hAnsi="Arial" w:cs="Arial"/>
                <w:sz w:val="18"/>
                <w:szCs w:val="18"/>
              </w:rPr>
            </w:pPr>
            <w:r w:rsidRPr="00366692">
              <w:rPr>
                <w:rFonts w:ascii="Arial" w:hAnsi="Arial" w:cs="Arial"/>
                <w:sz w:val="18"/>
                <w:szCs w:val="18"/>
              </w:rPr>
              <w:t xml:space="preserve">Ariani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2]</w:t>
            </w:r>
          </w:p>
        </w:tc>
        <w:tc>
          <w:tcPr>
            <w:tcW w:w="1694" w:type="dxa"/>
            <w:tcMar>
              <w:left w:w="28" w:type="dxa"/>
              <w:right w:w="28" w:type="dxa"/>
            </w:tcMar>
            <w:vAlign w:val="center"/>
          </w:tcPr>
          <w:p w:rsidR="009C7E75" w:rsidRDefault="00802619" w:rsidP="00F06CE6">
            <w:pPr>
              <w:spacing w:after="0" w:line="240" w:lineRule="auto"/>
              <w:jc w:val="center"/>
              <w:rPr>
                <w:rFonts w:ascii="Arial" w:hAnsi="Arial" w:cs="Arial"/>
                <w:sz w:val="18"/>
                <w:szCs w:val="18"/>
              </w:rPr>
            </w:pPr>
            <w:r w:rsidRPr="00366692">
              <w:rPr>
                <w:rFonts w:ascii="Arial" w:hAnsi="Arial" w:cs="Arial"/>
                <w:sz w:val="18"/>
                <w:szCs w:val="18"/>
              </w:rPr>
              <w:t xml:space="preserve">Ariani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3]</w:t>
            </w:r>
          </w:p>
        </w:tc>
        <w:tc>
          <w:tcPr>
            <w:tcW w:w="1708" w:type="dxa"/>
            <w:tcMar>
              <w:left w:w="28" w:type="dxa"/>
              <w:right w:w="28" w:type="dxa"/>
            </w:tcMar>
            <w:vAlign w:val="center"/>
          </w:tcPr>
          <w:p w:rsidR="009C7E75" w:rsidRDefault="00802619" w:rsidP="00F06CE6">
            <w:pPr>
              <w:spacing w:after="0" w:line="240" w:lineRule="auto"/>
              <w:jc w:val="center"/>
              <w:rPr>
                <w:rFonts w:ascii="Arial" w:hAnsi="Arial" w:cs="Arial"/>
                <w:sz w:val="18"/>
                <w:szCs w:val="18"/>
              </w:rPr>
            </w:pPr>
            <w:r w:rsidRPr="00366692">
              <w:rPr>
                <w:rFonts w:ascii="Arial" w:hAnsi="Arial" w:cs="Arial"/>
                <w:sz w:val="18"/>
                <w:szCs w:val="18"/>
              </w:rPr>
              <w:t xml:space="preserve">Makrythanasis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4]</w:t>
            </w:r>
          </w:p>
        </w:tc>
        <w:tc>
          <w:tcPr>
            <w:tcW w:w="1466" w:type="dxa"/>
            <w:tcMar>
              <w:left w:w="28" w:type="dxa"/>
              <w:right w:w="28" w:type="dxa"/>
            </w:tcMar>
            <w:vAlign w:val="center"/>
          </w:tcPr>
          <w:p w:rsidR="009C7E75" w:rsidRDefault="00802619" w:rsidP="00F06CE6">
            <w:pPr>
              <w:spacing w:after="0" w:line="240" w:lineRule="auto"/>
              <w:jc w:val="center"/>
              <w:rPr>
                <w:rFonts w:ascii="Arial" w:hAnsi="Arial" w:cs="Arial"/>
                <w:sz w:val="18"/>
                <w:szCs w:val="18"/>
              </w:rPr>
            </w:pPr>
            <w:r w:rsidRPr="00366692">
              <w:rPr>
                <w:rFonts w:ascii="Arial" w:hAnsi="Arial" w:cs="Arial"/>
                <w:sz w:val="18"/>
                <w:szCs w:val="18"/>
              </w:rPr>
              <w:t xml:space="preserve">Mencarelli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5]</w:t>
            </w:r>
          </w:p>
        </w:tc>
        <w:tc>
          <w:tcPr>
            <w:tcW w:w="1587" w:type="dxa"/>
            <w:tcMar>
              <w:left w:w="28" w:type="dxa"/>
              <w:right w:w="28" w:type="dxa"/>
            </w:tcMar>
            <w:vAlign w:val="center"/>
          </w:tcPr>
          <w:p w:rsidR="009C7E75" w:rsidRDefault="00802619" w:rsidP="00F06CE6">
            <w:pPr>
              <w:spacing w:after="0" w:line="240" w:lineRule="auto"/>
              <w:jc w:val="center"/>
              <w:rPr>
                <w:rFonts w:ascii="Arial" w:hAnsi="Arial" w:cs="Arial"/>
                <w:sz w:val="18"/>
                <w:szCs w:val="18"/>
                <w:lang w:val="en-US"/>
              </w:rPr>
            </w:pPr>
            <w:r w:rsidRPr="00366692">
              <w:rPr>
                <w:rFonts w:ascii="Arial" w:hAnsi="Arial" w:cs="Arial"/>
                <w:sz w:val="18"/>
                <w:szCs w:val="18"/>
                <w:lang w:val="en-US"/>
              </w:rPr>
              <w:t xml:space="preserve">De Filippis </w:t>
            </w:r>
            <w:r w:rsidR="00593BED">
              <w:rPr>
                <w:rFonts w:ascii="Arial" w:hAnsi="Arial" w:cs="Arial"/>
                <w:sz w:val="18"/>
                <w:szCs w:val="18"/>
                <w:lang w:val="en-US"/>
              </w:rPr>
              <w:t>et al.</w:t>
            </w:r>
          </w:p>
          <w:p w:rsidR="00802619" w:rsidRPr="00366692" w:rsidRDefault="001E1DEE" w:rsidP="00F06CE6">
            <w:pPr>
              <w:spacing w:after="0" w:line="240" w:lineRule="auto"/>
              <w:jc w:val="center"/>
              <w:rPr>
                <w:rFonts w:ascii="Arial" w:hAnsi="Arial" w:cs="Arial"/>
                <w:sz w:val="18"/>
                <w:szCs w:val="18"/>
                <w:lang w:val="en-US"/>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6]</w:t>
            </w:r>
          </w:p>
        </w:tc>
        <w:tc>
          <w:tcPr>
            <w:tcW w:w="1587"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US"/>
              </w:rPr>
            </w:pPr>
          </w:p>
        </w:tc>
        <w:tc>
          <w:tcPr>
            <w:tcW w:w="1587" w:type="dxa"/>
            <w:tcMar>
              <w:left w:w="28" w:type="dxa"/>
              <w:right w:w="28" w:type="dxa"/>
            </w:tcMar>
            <w:vAlign w:val="center"/>
          </w:tcPr>
          <w:p w:rsidR="009C7E75" w:rsidRDefault="00802619" w:rsidP="00F06CE6">
            <w:pPr>
              <w:spacing w:after="0" w:line="240" w:lineRule="auto"/>
              <w:ind w:left="1" w:firstLine="8"/>
              <w:jc w:val="center"/>
              <w:rPr>
                <w:rFonts w:ascii="Arial" w:hAnsi="Arial" w:cs="Arial"/>
                <w:sz w:val="18"/>
                <w:szCs w:val="18"/>
              </w:rPr>
            </w:pPr>
            <w:r w:rsidRPr="00366692">
              <w:rPr>
                <w:rFonts w:ascii="Arial" w:hAnsi="Arial" w:cs="Arial"/>
                <w:sz w:val="18"/>
                <w:szCs w:val="18"/>
              </w:rPr>
              <w:t xml:space="preserve">Bijlsma </w:t>
            </w:r>
            <w:r w:rsidR="00593BED">
              <w:rPr>
                <w:rFonts w:ascii="Arial" w:hAnsi="Arial" w:cs="Arial"/>
                <w:sz w:val="18"/>
                <w:szCs w:val="18"/>
              </w:rPr>
              <w:t>et al.</w:t>
            </w:r>
          </w:p>
          <w:p w:rsidR="00802619" w:rsidRPr="00366692" w:rsidRDefault="001E1DEE" w:rsidP="00F06CE6">
            <w:pPr>
              <w:spacing w:after="0" w:line="240" w:lineRule="auto"/>
              <w:ind w:left="1" w:firstLine="8"/>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7]</w:t>
            </w:r>
          </w:p>
        </w:tc>
        <w:tc>
          <w:tcPr>
            <w:tcW w:w="1701" w:type="dxa"/>
            <w:tcMar>
              <w:left w:w="28" w:type="dxa"/>
              <w:right w:w="28" w:type="dxa"/>
            </w:tcMar>
            <w:vAlign w:val="center"/>
          </w:tcPr>
          <w:p w:rsidR="009C7E75" w:rsidRDefault="00802619" w:rsidP="00F06CE6">
            <w:pPr>
              <w:spacing w:after="0" w:line="240" w:lineRule="auto"/>
              <w:jc w:val="center"/>
              <w:rPr>
                <w:rFonts w:ascii="Arial" w:hAnsi="Arial" w:cs="Arial"/>
                <w:sz w:val="18"/>
                <w:szCs w:val="18"/>
              </w:rPr>
            </w:pPr>
            <w:r w:rsidRPr="00366692">
              <w:rPr>
                <w:rFonts w:ascii="Arial" w:hAnsi="Arial" w:cs="Arial"/>
                <w:sz w:val="18"/>
                <w:szCs w:val="18"/>
              </w:rPr>
              <w:t xml:space="preserve">Amenduni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8]</w:t>
            </w: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rPr>
            </w:pPr>
            <w:r w:rsidRPr="00366692">
              <w:rPr>
                <w:rFonts w:ascii="Arial" w:eastAsia="Calibri" w:hAnsi="Arial" w:cs="Arial"/>
                <w:color w:val="000000"/>
                <w:kern w:val="24"/>
                <w:sz w:val="18"/>
                <w:szCs w:val="18"/>
              </w:rPr>
              <w:t>NMTB</w:t>
            </w:r>
          </w:p>
        </w:tc>
        <w:tc>
          <w:tcPr>
            <w:tcW w:w="1701" w:type="dxa"/>
            <w:tcMar>
              <w:left w:w="28" w:type="dxa"/>
              <w:right w:w="28" w:type="dxa"/>
            </w:tcMar>
            <w:vAlign w:val="center"/>
          </w:tcPr>
          <w:p w:rsidR="009C7E75" w:rsidRDefault="009C7E75" w:rsidP="00F06CE6">
            <w:pPr>
              <w:spacing w:after="0" w:line="240" w:lineRule="auto"/>
              <w:jc w:val="center"/>
              <w:rPr>
                <w:rFonts w:ascii="Arial" w:hAnsi="Arial" w:cs="Arial"/>
                <w:sz w:val="18"/>
                <w:szCs w:val="18"/>
              </w:rPr>
            </w:pPr>
            <w:r>
              <w:rPr>
                <w:rFonts w:ascii="Arial" w:hAnsi="Arial" w:cs="Arial"/>
                <w:sz w:val="18"/>
                <w:szCs w:val="18"/>
              </w:rPr>
              <w:t>Fanin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2</w:t>
            </w:r>
            <w:r w:rsidRPr="00366692">
              <w:rPr>
                <w:rFonts w:ascii="Arial" w:hAnsi="Arial" w:cs="Arial"/>
                <w:sz w:val="18"/>
                <w:szCs w:val="18"/>
              </w:rPr>
              <w:t>9]</w:t>
            </w:r>
          </w:p>
        </w:tc>
        <w:tc>
          <w:tcPr>
            <w:tcW w:w="1694" w:type="dxa"/>
            <w:tcMar>
              <w:left w:w="28" w:type="dxa"/>
              <w:right w:w="28" w:type="dxa"/>
            </w:tcMar>
            <w:vAlign w:val="center"/>
          </w:tcPr>
          <w:p w:rsidR="00394BE3" w:rsidRDefault="00394BE3" w:rsidP="00F06CE6">
            <w:pPr>
              <w:spacing w:after="0" w:line="240" w:lineRule="auto"/>
              <w:jc w:val="center"/>
              <w:rPr>
                <w:rFonts w:ascii="Arial" w:hAnsi="Arial" w:cs="Arial"/>
                <w:sz w:val="18"/>
                <w:szCs w:val="18"/>
              </w:rPr>
            </w:pPr>
            <w:r>
              <w:rPr>
                <w:rFonts w:ascii="Arial" w:hAnsi="Arial" w:cs="Arial"/>
                <w:sz w:val="18"/>
                <w:szCs w:val="18"/>
              </w:rPr>
              <w:t>Torella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0]</w:t>
            </w:r>
          </w:p>
        </w:tc>
        <w:tc>
          <w:tcPr>
            <w:tcW w:w="1708" w:type="dxa"/>
            <w:tcMar>
              <w:left w:w="28" w:type="dxa"/>
              <w:right w:w="28" w:type="dxa"/>
            </w:tcMar>
            <w:vAlign w:val="center"/>
          </w:tcPr>
          <w:p w:rsidR="004338A1" w:rsidRDefault="000E3672" w:rsidP="00F06CE6">
            <w:pPr>
              <w:spacing w:after="0" w:line="240" w:lineRule="auto"/>
              <w:jc w:val="center"/>
              <w:rPr>
                <w:rFonts w:ascii="Arial" w:hAnsi="Arial" w:cs="Arial"/>
                <w:sz w:val="18"/>
                <w:szCs w:val="18"/>
              </w:rPr>
            </w:pPr>
            <w:r w:rsidRPr="00366692">
              <w:rPr>
                <w:rFonts w:ascii="Arial" w:hAnsi="Arial" w:cs="Arial"/>
                <w:sz w:val="18"/>
                <w:szCs w:val="18"/>
              </w:rPr>
              <w:t>Nascimbeni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1]</w:t>
            </w:r>
          </w:p>
        </w:tc>
        <w:tc>
          <w:tcPr>
            <w:tcW w:w="1466" w:type="dxa"/>
            <w:tcMar>
              <w:left w:w="28" w:type="dxa"/>
              <w:right w:w="28" w:type="dxa"/>
            </w:tcMar>
            <w:vAlign w:val="center"/>
          </w:tcPr>
          <w:p w:rsidR="00394BE3" w:rsidRDefault="000E3672" w:rsidP="00F06CE6">
            <w:pPr>
              <w:spacing w:after="0" w:line="240" w:lineRule="auto"/>
              <w:jc w:val="center"/>
              <w:rPr>
                <w:rFonts w:ascii="Arial" w:hAnsi="Arial" w:cs="Arial"/>
                <w:sz w:val="18"/>
                <w:szCs w:val="18"/>
              </w:rPr>
            </w:pPr>
            <w:r w:rsidRPr="00366692">
              <w:rPr>
                <w:rFonts w:ascii="Arial" w:hAnsi="Arial" w:cs="Arial"/>
                <w:sz w:val="18"/>
                <w:szCs w:val="18"/>
              </w:rPr>
              <w:t>Spinaz</w:t>
            </w:r>
            <w:r w:rsidR="009C7E75">
              <w:rPr>
                <w:rFonts w:ascii="Arial" w:hAnsi="Arial" w:cs="Arial"/>
                <w:sz w:val="18"/>
                <w:szCs w:val="18"/>
              </w:rPr>
              <w:t>z</w:t>
            </w:r>
            <w:r w:rsidR="00394BE3">
              <w:rPr>
                <w:rFonts w:ascii="Arial" w:hAnsi="Arial" w:cs="Arial"/>
                <w:sz w:val="18"/>
                <w:szCs w:val="18"/>
              </w:rPr>
              <w:t>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2]</w:t>
            </w:r>
          </w:p>
        </w:tc>
        <w:tc>
          <w:tcPr>
            <w:tcW w:w="1587" w:type="dxa"/>
            <w:tcMar>
              <w:left w:w="28" w:type="dxa"/>
              <w:right w:w="28" w:type="dxa"/>
            </w:tcMar>
            <w:vAlign w:val="center"/>
          </w:tcPr>
          <w:p w:rsidR="00394BE3" w:rsidRDefault="009C7E75" w:rsidP="00F06CE6">
            <w:pPr>
              <w:spacing w:after="0" w:line="240" w:lineRule="auto"/>
              <w:jc w:val="center"/>
              <w:rPr>
                <w:rFonts w:ascii="Arial" w:hAnsi="Arial" w:cs="Arial"/>
                <w:sz w:val="18"/>
                <w:szCs w:val="18"/>
              </w:rPr>
            </w:pPr>
            <w:r>
              <w:rPr>
                <w:rFonts w:ascii="Arial" w:hAnsi="Arial" w:cs="Arial"/>
                <w:sz w:val="18"/>
                <w:szCs w:val="18"/>
              </w:rPr>
              <w:t>Nascimbeni</w:t>
            </w:r>
            <w:r w:rsidR="00394BE3">
              <w:rPr>
                <w:rFonts w:ascii="Arial" w:hAnsi="Arial" w:cs="Arial"/>
                <w:sz w:val="18"/>
                <w:szCs w:val="18"/>
              </w:rPr>
              <w:t xml:space="preserve">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3]</w:t>
            </w:r>
          </w:p>
        </w:tc>
        <w:tc>
          <w:tcPr>
            <w:tcW w:w="1587" w:type="dxa"/>
            <w:tcMar>
              <w:left w:w="28" w:type="dxa"/>
              <w:right w:w="28" w:type="dxa"/>
            </w:tcMar>
            <w:vAlign w:val="center"/>
          </w:tcPr>
          <w:p w:rsidR="00394BE3" w:rsidRDefault="000E3672" w:rsidP="00F06CE6">
            <w:pPr>
              <w:spacing w:after="0" w:line="240" w:lineRule="auto"/>
              <w:jc w:val="center"/>
              <w:rPr>
                <w:rFonts w:ascii="Arial" w:hAnsi="Arial" w:cs="Arial"/>
                <w:sz w:val="18"/>
                <w:szCs w:val="18"/>
              </w:rPr>
            </w:pPr>
            <w:r w:rsidRPr="00366692">
              <w:rPr>
                <w:rFonts w:ascii="Arial" w:hAnsi="Arial" w:cs="Arial"/>
                <w:sz w:val="18"/>
                <w:szCs w:val="18"/>
              </w:rPr>
              <w:t>Angelini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4]</w:t>
            </w:r>
          </w:p>
        </w:tc>
        <w:tc>
          <w:tcPr>
            <w:tcW w:w="1587" w:type="dxa"/>
            <w:tcMar>
              <w:left w:w="28" w:type="dxa"/>
              <w:right w:w="28" w:type="dxa"/>
            </w:tcMar>
            <w:vAlign w:val="center"/>
          </w:tcPr>
          <w:p w:rsidR="00394BE3" w:rsidRDefault="000E3672" w:rsidP="00F06CE6">
            <w:pPr>
              <w:spacing w:after="0" w:line="240" w:lineRule="auto"/>
              <w:ind w:left="1" w:firstLine="8"/>
              <w:jc w:val="center"/>
              <w:rPr>
                <w:rFonts w:ascii="Arial" w:hAnsi="Arial" w:cs="Arial"/>
                <w:sz w:val="18"/>
                <w:szCs w:val="18"/>
              </w:rPr>
            </w:pPr>
            <w:r w:rsidRPr="00366692">
              <w:rPr>
                <w:rFonts w:ascii="Arial" w:hAnsi="Arial" w:cs="Arial"/>
                <w:sz w:val="18"/>
                <w:szCs w:val="18"/>
              </w:rPr>
              <w:t>Fanin et al.</w:t>
            </w:r>
          </w:p>
          <w:p w:rsidR="00802619" w:rsidRPr="00366692" w:rsidRDefault="001E1DEE" w:rsidP="00F06CE6">
            <w:pPr>
              <w:spacing w:after="0" w:line="240" w:lineRule="auto"/>
              <w:ind w:left="1" w:firstLine="8"/>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5]</w:t>
            </w:r>
          </w:p>
        </w:tc>
        <w:tc>
          <w:tcPr>
            <w:tcW w:w="1701"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rPr>
            </w:pP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rPr>
            </w:pPr>
            <w:r w:rsidRPr="00366692">
              <w:rPr>
                <w:rFonts w:ascii="Arial" w:eastAsia="Calibri" w:hAnsi="Arial" w:cs="Arial"/>
                <w:color w:val="000000"/>
                <w:kern w:val="24"/>
                <w:sz w:val="18"/>
                <w:szCs w:val="18"/>
              </w:rPr>
              <w:t>biobankNMD</w:t>
            </w:r>
          </w:p>
        </w:tc>
        <w:tc>
          <w:tcPr>
            <w:tcW w:w="1701"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 xml:space="preserve">Mancuso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6]</w:t>
            </w:r>
          </w:p>
        </w:tc>
        <w:tc>
          <w:tcPr>
            <w:tcW w:w="1694"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 xml:space="preserve">Kornblum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3</w:t>
            </w:r>
            <w:r w:rsidRPr="00366692">
              <w:rPr>
                <w:rFonts w:ascii="Arial" w:hAnsi="Arial" w:cs="Arial"/>
                <w:sz w:val="18"/>
                <w:szCs w:val="18"/>
              </w:rPr>
              <w:t>7]</w:t>
            </w:r>
          </w:p>
        </w:tc>
        <w:tc>
          <w:tcPr>
            <w:tcW w:w="1708"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 xml:space="preserve">Ronchi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3</w:t>
            </w:r>
            <w:r w:rsidRPr="004338A1">
              <w:rPr>
                <w:rFonts w:ascii="Arial" w:hAnsi="Arial" w:cs="Arial"/>
                <w:sz w:val="18"/>
                <w:szCs w:val="18"/>
              </w:rPr>
              <w:t>8]</w:t>
            </w:r>
          </w:p>
        </w:tc>
        <w:tc>
          <w:tcPr>
            <w:tcW w:w="1466"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Ronchi et al</w:t>
            </w:r>
            <w:r w:rsidR="009C7E75">
              <w:rPr>
                <w:rFonts w:ascii="Arial" w:hAnsi="Arial" w:cs="Arial"/>
                <w:sz w:val="18"/>
                <w:szCs w:val="18"/>
              </w:rPr>
              <w:t>.</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3</w:t>
            </w:r>
            <w:r w:rsidRPr="004338A1">
              <w:rPr>
                <w:rFonts w:ascii="Arial" w:hAnsi="Arial" w:cs="Arial"/>
                <w:sz w:val="18"/>
                <w:szCs w:val="18"/>
              </w:rPr>
              <w:t>9]</w:t>
            </w:r>
          </w:p>
        </w:tc>
        <w:tc>
          <w:tcPr>
            <w:tcW w:w="1587"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 xml:space="preserve">Magri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0]</w:t>
            </w:r>
          </w:p>
        </w:tc>
        <w:tc>
          <w:tcPr>
            <w:tcW w:w="1587" w:type="dxa"/>
            <w:tcMar>
              <w:left w:w="28" w:type="dxa"/>
              <w:right w:w="28" w:type="dxa"/>
            </w:tcMar>
            <w:vAlign w:val="center"/>
          </w:tcPr>
          <w:p w:rsidR="009C7E75" w:rsidRDefault="000E3672" w:rsidP="00F06CE6">
            <w:pPr>
              <w:spacing w:after="0" w:line="240" w:lineRule="auto"/>
              <w:jc w:val="center"/>
              <w:rPr>
                <w:rFonts w:ascii="Arial" w:hAnsi="Arial" w:cs="Arial"/>
                <w:sz w:val="18"/>
                <w:szCs w:val="18"/>
              </w:rPr>
            </w:pPr>
            <w:r w:rsidRPr="00366692">
              <w:rPr>
                <w:rFonts w:ascii="Arial" w:hAnsi="Arial" w:cs="Arial"/>
                <w:sz w:val="18"/>
                <w:szCs w:val="18"/>
              </w:rPr>
              <w:t xml:space="preserve">De Palma </w:t>
            </w:r>
            <w:r w:rsidR="00593BED">
              <w:rPr>
                <w:rFonts w:ascii="Arial" w:hAnsi="Arial" w:cs="Arial"/>
                <w:sz w:val="18"/>
                <w:szCs w:val="18"/>
              </w:rPr>
              <w:t>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1]</w:t>
            </w:r>
          </w:p>
        </w:tc>
        <w:tc>
          <w:tcPr>
            <w:tcW w:w="1587" w:type="dxa"/>
            <w:tcMar>
              <w:left w:w="28" w:type="dxa"/>
              <w:right w:w="28" w:type="dxa"/>
            </w:tcMar>
            <w:vAlign w:val="center"/>
          </w:tcPr>
          <w:p w:rsidR="009C7E75" w:rsidRDefault="000E3672" w:rsidP="00F06CE6">
            <w:pPr>
              <w:spacing w:after="0" w:line="240" w:lineRule="auto"/>
              <w:ind w:left="1" w:firstLine="8"/>
              <w:jc w:val="center"/>
              <w:rPr>
                <w:rFonts w:ascii="Arial" w:hAnsi="Arial" w:cs="Arial"/>
                <w:sz w:val="18"/>
                <w:szCs w:val="18"/>
              </w:rPr>
            </w:pPr>
            <w:r w:rsidRPr="00366692">
              <w:rPr>
                <w:rFonts w:ascii="Arial" w:hAnsi="Arial" w:cs="Arial"/>
                <w:sz w:val="18"/>
                <w:szCs w:val="18"/>
              </w:rPr>
              <w:t xml:space="preserve">Mercuri </w:t>
            </w:r>
            <w:r w:rsidR="00593BED">
              <w:rPr>
                <w:rFonts w:ascii="Arial" w:hAnsi="Arial" w:cs="Arial"/>
                <w:sz w:val="18"/>
                <w:szCs w:val="18"/>
              </w:rPr>
              <w:t>et al.</w:t>
            </w:r>
          </w:p>
          <w:p w:rsidR="00802619" w:rsidRPr="00366692" w:rsidRDefault="001E1DEE" w:rsidP="00F06CE6">
            <w:pPr>
              <w:spacing w:after="0" w:line="240" w:lineRule="auto"/>
              <w:ind w:left="1" w:firstLine="8"/>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2]</w:t>
            </w:r>
          </w:p>
        </w:tc>
        <w:tc>
          <w:tcPr>
            <w:tcW w:w="1701"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rPr>
            </w:pP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rPr>
            </w:pPr>
            <w:r w:rsidRPr="00366692">
              <w:rPr>
                <w:rFonts w:ascii="Arial" w:eastAsia="Calibri" w:hAnsi="Arial" w:cs="Arial"/>
                <w:color w:val="000000"/>
                <w:kern w:val="24"/>
                <w:sz w:val="18"/>
                <w:szCs w:val="18"/>
              </w:rPr>
              <w:t>NeuMD</w:t>
            </w:r>
          </w:p>
        </w:tc>
        <w:tc>
          <w:tcPr>
            <w:tcW w:w="1701"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Saredi 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3]</w:t>
            </w:r>
          </w:p>
        </w:tc>
        <w:tc>
          <w:tcPr>
            <w:tcW w:w="1694"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Manzini 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4]</w:t>
            </w:r>
          </w:p>
        </w:tc>
        <w:tc>
          <w:tcPr>
            <w:tcW w:w="1708"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Cesana et al.</w:t>
            </w:r>
          </w:p>
          <w:p w:rsidR="00802619" w:rsidRPr="00366692" w:rsidRDefault="001E1DEE" w:rsidP="00F06CE6">
            <w:pPr>
              <w:spacing w:after="0" w:line="240" w:lineRule="auto"/>
              <w:jc w:val="center"/>
              <w:rPr>
                <w:rFonts w:ascii="Arial" w:hAnsi="Arial" w:cs="Arial"/>
                <w:sz w:val="18"/>
                <w:szCs w:val="18"/>
              </w:rPr>
            </w:pPr>
            <w:r w:rsidRPr="004338A1">
              <w:rPr>
                <w:rFonts w:ascii="Arial" w:hAnsi="Arial" w:cs="Arial"/>
                <w:sz w:val="18"/>
                <w:szCs w:val="18"/>
              </w:rPr>
              <w:t>[</w:t>
            </w:r>
            <w:r w:rsidR="00A23D9D">
              <w:rPr>
                <w:rFonts w:ascii="Arial" w:hAnsi="Arial" w:cs="Arial"/>
                <w:sz w:val="18"/>
                <w:szCs w:val="18"/>
              </w:rPr>
              <w:t>4</w:t>
            </w:r>
            <w:r w:rsidRPr="004338A1">
              <w:rPr>
                <w:rFonts w:ascii="Arial" w:hAnsi="Arial" w:cs="Arial"/>
                <w:sz w:val="18"/>
                <w:szCs w:val="18"/>
              </w:rPr>
              <w:t>5]</w:t>
            </w:r>
          </w:p>
        </w:tc>
        <w:tc>
          <w:tcPr>
            <w:tcW w:w="1466"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Zanotti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4</w:t>
            </w:r>
            <w:r w:rsidRPr="00366692">
              <w:rPr>
                <w:rFonts w:ascii="Arial" w:hAnsi="Arial" w:cs="Arial"/>
                <w:sz w:val="18"/>
                <w:szCs w:val="18"/>
              </w:rPr>
              <w:t>6]</w:t>
            </w:r>
          </w:p>
        </w:tc>
        <w:tc>
          <w:tcPr>
            <w:tcW w:w="1587"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Mercuri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4</w:t>
            </w:r>
            <w:r w:rsidRPr="00366692">
              <w:rPr>
                <w:rFonts w:ascii="Arial" w:hAnsi="Arial" w:cs="Arial"/>
                <w:sz w:val="18"/>
                <w:szCs w:val="18"/>
              </w:rPr>
              <w:t>7]</w:t>
            </w:r>
          </w:p>
        </w:tc>
        <w:tc>
          <w:tcPr>
            <w:tcW w:w="1587" w:type="dxa"/>
            <w:tcMar>
              <w:left w:w="28" w:type="dxa"/>
              <w:right w:w="28" w:type="dxa"/>
            </w:tcMar>
            <w:vAlign w:val="center"/>
          </w:tcPr>
          <w:p w:rsidR="009C7E75" w:rsidRDefault="00922684" w:rsidP="00F06CE6">
            <w:pPr>
              <w:spacing w:after="0" w:line="240" w:lineRule="auto"/>
              <w:jc w:val="center"/>
              <w:rPr>
                <w:rFonts w:ascii="Arial" w:hAnsi="Arial" w:cs="Arial"/>
                <w:sz w:val="18"/>
                <w:szCs w:val="18"/>
              </w:rPr>
            </w:pPr>
            <w:r w:rsidRPr="00366692">
              <w:rPr>
                <w:rFonts w:ascii="Arial" w:hAnsi="Arial" w:cs="Arial"/>
                <w:sz w:val="18"/>
                <w:szCs w:val="18"/>
              </w:rPr>
              <w:t>Incitti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4</w:t>
            </w:r>
            <w:r w:rsidRPr="00366692">
              <w:rPr>
                <w:rFonts w:ascii="Arial" w:hAnsi="Arial" w:cs="Arial"/>
                <w:sz w:val="18"/>
                <w:szCs w:val="18"/>
              </w:rPr>
              <w:t>8]</w:t>
            </w:r>
          </w:p>
        </w:tc>
        <w:tc>
          <w:tcPr>
            <w:tcW w:w="1587" w:type="dxa"/>
            <w:tcMar>
              <w:left w:w="28" w:type="dxa"/>
              <w:right w:w="28" w:type="dxa"/>
            </w:tcMar>
            <w:vAlign w:val="center"/>
          </w:tcPr>
          <w:p w:rsidR="000547DC" w:rsidRDefault="00922684" w:rsidP="00F06CE6">
            <w:pPr>
              <w:spacing w:after="0" w:line="240" w:lineRule="auto"/>
              <w:ind w:left="1" w:firstLine="8"/>
              <w:jc w:val="center"/>
              <w:rPr>
                <w:rFonts w:ascii="Arial" w:hAnsi="Arial" w:cs="Arial"/>
                <w:sz w:val="18"/>
                <w:szCs w:val="18"/>
              </w:rPr>
            </w:pPr>
            <w:r w:rsidRPr="00366692">
              <w:rPr>
                <w:rFonts w:ascii="Arial" w:hAnsi="Arial" w:cs="Arial"/>
                <w:sz w:val="18"/>
                <w:szCs w:val="18"/>
              </w:rPr>
              <w:t>Guglieri et al.</w:t>
            </w:r>
          </w:p>
          <w:p w:rsidR="00802619" w:rsidRPr="00366692" w:rsidRDefault="001E1DEE" w:rsidP="00F06CE6">
            <w:pPr>
              <w:spacing w:after="0" w:line="240" w:lineRule="auto"/>
              <w:ind w:left="1" w:firstLine="8"/>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4</w:t>
            </w:r>
            <w:r w:rsidRPr="00366692">
              <w:rPr>
                <w:rFonts w:ascii="Arial" w:hAnsi="Arial" w:cs="Arial"/>
                <w:sz w:val="18"/>
                <w:szCs w:val="18"/>
              </w:rPr>
              <w:t>9]</w:t>
            </w:r>
          </w:p>
        </w:tc>
        <w:tc>
          <w:tcPr>
            <w:tcW w:w="1701" w:type="dxa"/>
            <w:tcMar>
              <w:left w:w="28" w:type="dxa"/>
              <w:right w:w="28" w:type="dxa"/>
            </w:tcMar>
            <w:vAlign w:val="center"/>
          </w:tcPr>
          <w:p w:rsidR="000547DC" w:rsidRDefault="00922684" w:rsidP="00F06CE6">
            <w:pPr>
              <w:spacing w:after="0" w:line="240" w:lineRule="auto"/>
              <w:jc w:val="center"/>
              <w:rPr>
                <w:rFonts w:ascii="Arial" w:hAnsi="Arial" w:cs="Arial"/>
                <w:sz w:val="18"/>
                <w:szCs w:val="18"/>
              </w:rPr>
            </w:pPr>
            <w:r w:rsidRPr="00366692">
              <w:rPr>
                <w:rFonts w:ascii="Arial" w:hAnsi="Arial" w:cs="Arial"/>
                <w:sz w:val="18"/>
                <w:szCs w:val="18"/>
              </w:rPr>
              <w:t>Tedesco et al.</w:t>
            </w:r>
          </w:p>
          <w:p w:rsidR="00802619" w:rsidRPr="00366692" w:rsidRDefault="001E1DEE" w:rsidP="00F06CE6">
            <w:pPr>
              <w:spacing w:after="0" w:line="240" w:lineRule="auto"/>
              <w:jc w:val="center"/>
              <w:rPr>
                <w:rFonts w:ascii="Arial" w:hAnsi="Arial" w:cs="Arial"/>
                <w:sz w:val="18"/>
                <w:szCs w:val="18"/>
              </w:rPr>
            </w:pPr>
            <w:r w:rsidRPr="00366692">
              <w:rPr>
                <w:rFonts w:ascii="Arial" w:hAnsi="Arial" w:cs="Arial"/>
                <w:sz w:val="18"/>
                <w:szCs w:val="18"/>
              </w:rPr>
              <w:t>[</w:t>
            </w:r>
            <w:r w:rsidR="00A23D9D">
              <w:rPr>
                <w:rFonts w:ascii="Arial" w:hAnsi="Arial" w:cs="Arial"/>
                <w:sz w:val="18"/>
                <w:szCs w:val="18"/>
              </w:rPr>
              <w:t>5</w:t>
            </w:r>
            <w:r w:rsidRPr="00366692">
              <w:rPr>
                <w:rFonts w:ascii="Arial" w:hAnsi="Arial" w:cs="Arial"/>
                <w:sz w:val="18"/>
                <w:szCs w:val="18"/>
              </w:rPr>
              <w:t>0]</w:t>
            </w:r>
          </w:p>
        </w:tc>
      </w:tr>
      <w:tr w:rsidR="00802619" w:rsidRPr="00366692" w:rsidTr="00F06CE6">
        <w:trPr>
          <w:trHeight w:hRule="exact" w:val="680"/>
        </w:trPr>
        <w:tc>
          <w:tcPr>
            <w:tcW w:w="1197" w:type="dxa"/>
            <w:tcMar>
              <w:left w:w="28" w:type="dxa"/>
              <w:right w:w="28" w:type="dxa"/>
            </w:tcMar>
            <w:vAlign w:val="center"/>
          </w:tcPr>
          <w:p w:rsidR="00802619" w:rsidRPr="00366692" w:rsidRDefault="00802619" w:rsidP="00F06CE6">
            <w:pPr>
              <w:pStyle w:val="NormaleWeb"/>
              <w:tabs>
                <w:tab w:val="left" w:pos="993"/>
              </w:tabs>
              <w:spacing w:before="0" w:beforeAutospacing="0" w:after="0" w:afterAutospacing="0"/>
              <w:jc w:val="center"/>
              <w:rPr>
                <w:rFonts w:ascii="Arial" w:hAnsi="Arial" w:cs="Arial"/>
                <w:sz w:val="18"/>
                <w:szCs w:val="18"/>
                <w:lang w:val="en-GB"/>
              </w:rPr>
            </w:pPr>
            <w:r w:rsidRPr="00366692">
              <w:rPr>
                <w:rFonts w:ascii="Arial" w:eastAsia="Calibri" w:hAnsi="Arial" w:cs="Arial"/>
                <w:color w:val="000000"/>
                <w:kern w:val="24"/>
                <w:sz w:val="18"/>
                <w:szCs w:val="18"/>
                <w:lang w:val="en-GB"/>
              </w:rPr>
              <w:t>GDB</w:t>
            </w:r>
          </w:p>
        </w:tc>
        <w:tc>
          <w:tcPr>
            <w:tcW w:w="1701" w:type="dxa"/>
            <w:tcMar>
              <w:left w:w="28" w:type="dxa"/>
              <w:right w:w="28" w:type="dxa"/>
            </w:tcMar>
            <w:vAlign w:val="center"/>
          </w:tcPr>
          <w:p w:rsidR="000547DC" w:rsidRDefault="001B496B" w:rsidP="00F06CE6">
            <w:pPr>
              <w:spacing w:after="0" w:line="240" w:lineRule="auto"/>
              <w:jc w:val="center"/>
              <w:rPr>
                <w:rFonts w:ascii="Arial" w:hAnsi="Arial" w:cs="Arial"/>
                <w:sz w:val="18"/>
                <w:szCs w:val="18"/>
              </w:rPr>
            </w:pPr>
            <w:r w:rsidRPr="00366692">
              <w:rPr>
                <w:rFonts w:ascii="Arial" w:hAnsi="Arial" w:cs="Arial"/>
                <w:sz w:val="18"/>
                <w:szCs w:val="18"/>
              </w:rPr>
              <w:t>*Micale et al.</w:t>
            </w:r>
          </w:p>
          <w:p w:rsidR="00802619"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1</w:t>
            </w:r>
            <w:r w:rsidRPr="00366692">
              <w:rPr>
                <w:rFonts w:ascii="Arial" w:hAnsi="Arial" w:cs="Arial"/>
                <w:sz w:val="18"/>
                <w:szCs w:val="18"/>
              </w:rPr>
              <w:t>]</w:t>
            </w:r>
          </w:p>
        </w:tc>
        <w:tc>
          <w:tcPr>
            <w:tcW w:w="1694"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c>
          <w:tcPr>
            <w:tcW w:w="1708"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c>
          <w:tcPr>
            <w:tcW w:w="1466"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c>
          <w:tcPr>
            <w:tcW w:w="1587" w:type="dxa"/>
            <w:tcMar>
              <w:left w:w="28" w:type="dxa"/>
              <w:right w:w="28" w:type="dxa"/>
            </w:tcMar>
            <w:vAlign w:val="center"/>
          </w:tcPr>
          <w:p w:rsidR="000547DC" w:rsidRDefault="001B496B"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*Ejarque et al.</w:t>
            </w:r>
          </w:p>
          <w:p w:rsidR="00802619"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2</w:t>
            </w:r>
            <w:r w:rsidRPr="00366692">
              <w:rPr>
                <w:rFonts w:ascii="Arial" w:hAnsi="Arial" w:cs="Arial"/>
                <w:sz w:val="18"/>
                <w:szCs w:val="18"/>
              </w:rPr>
              <w:t>]</w:t>
            </w:r>
          </w:p>
        </w:tc>
        <w:tc>
          <w:tcPr>
            <w:tcW w:w="1587"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c>
          <w:tcPr>
            <w:tcW w:w="1587" w:type="dxa"/>
            <w:tcMar>
              <w:left w:w="28" w:type="dxa"/>
              <w:right w:w="28" w:type="dxa"/>
            </w:tcMar>
            <w:vAlign w:val="center"/>
          </w:tcPr>
          <w:p w:rsidR="00802619" w:rsidRPr="00366692" w:rsidRDefault="00802619" w:rsidP="00F06CE6">
            <w:pPr>
              <w:spacing w:after="0" w:line="240" w:lineRule="auto"/>
              <w:ind w:left="1" w:firstLine="8"/>
              <w:jc w:val="center"/>
              <w:rPr>
                <w:rFonts w:ascii="Arial" w:hAnsi="Arial" w:cs="Arial"/>
                <w:sz w:val="18"/>
                <w:szCs w:val="18"/>
                <w:lang w:val="en-US"/>
              </w:rPr>
            </w:pPr>
          </w:p>
        </w:tc>
        <w:tc>
          <w:tcPr>
            <w:tcW w:w="1701" w:type="dxa"/>
            <w:tcMar>
              <w:left w:w="28" w:type="dxa"/>
              <w:right w:w="28" w:type="dxa"/>
            </w:tcMar>
            <w:vAlign w:val="center"/>
          </w:tcPr>
          <w:p w:rsidR="00802619" w:rsidRPr="00366692" w:rsidRDefault="00802619" w:rsidP="00F06CE6">
            <w:pPr>
              <w:spacing w:after="0" w:line="240" w:lineRule="auto"/>
              <w:jc w:val="center"/>
              <w:rPr>
                <w:rFonts w:ascii="Arial" w:hAnsi="Arial" w:cs="Arial"/>
                <w:sz w:val="18"/>
                <w:szCs w:val="18"/>
                <w:lang w:val="en-GB"/>
              </w:rPr>
            </w:pPr>
          </w:p>
        </w:tc>
      </w:tr>
      <w:tr w:rsidR="00394BE3" w:rsidRPr="00366692" w:rsidTr="00F06CE6">
        <w:trPr>
          <w:trHeight w:hRule="exact" w:val="680"/>
        </w:trPr>
        <w:tc>
          <w:tcPr>
            <w:tcW w:w="1197" w:type="dxa"/>
            <w:tcMar>
              <w:left w:w="28" w:type="dxa"/>
              <w:right w:w="28" w:type="dxa"/>
            </w:tcMar>
            <w:vAlign w:val="center"/>
          </w:tcPr>
          <w:p w:rsidR="00394BE3" w:rsidRPr="00366692" w:rsidRDefault="00394BE3" w:rsidP="00F06CE6">
            <w:pPr>
              <w:pStyle w:val="NormaleWeb"/>
              <w:tabs>
                <w:tab w:val="left" w:pos="993"/>
              </w:tabs>
              <w:spacing w:before="0" w:beforeAutospacing="0" w:after="0" w:afterAutospacing="0"/>
              <w:jc w:val="center"/>
              <w:rPr>
                <w:rFonts w:ascii="Arial" w:hAnsi="Arial" w:cs="Arial"/>
                <w:sz w:val="18"/>
                <w:szCs w:val="18"/>
                <w:lang w:val="en-US"/>
              </w:rPr>
            </w:pPr>
            <w:r w:rsidRPr="00366692">
              <w:rPr>
                <w:rFonts w:ascii="Arial" w:eastAsia="Calibri" w:hAnsi="Arial" w:cs="Arial"/>
                <w:color w:val="000000"/>
                <w:kern w:val="24"/>
                <w:sz w:val="18"/>
                <w:szCs w:val="18"/>
                <w:lang w:val="en-GB"/>
              </w:rPr>
              <w:t>NHMGB</w:t>
            </w:r>
          </w:p>
        </w:tc>
        <w:tc>
          <w:tcPr>
            <w:tcW w:w="1701" w:type="dxa"/>
            <w:tcMar>
              <w:left w:w="28" w:type="dxa"/>
              <w:right w:w="28" w:type="dxa"/>
            </w:tcMar>
            <w:vAlign w:val="center"/>
          </w:tcPr>
          <w:p w:rsidR="004338A1" w:rsidRDefault="004338A1" w:rsidP="00F06CE6">
            <w:pPr>
              <w:spacing w:after="0" w:line="240" w:lineRule="auto"/>
              <w:jc w:val="center"/>
              <w:rPr>
                <w:rFonts w:ascii="Arial" w:hAnsi="Arial" w:cs="Arial"/>
                <w:sz w:val="18"/>
                <w:szCs w:val="18"/>
                <w:lang w:val="en-GB"/>
              </w:rPr>
            </w:pPr>
            <w:r>
              <w:rPr>
                <w:rFonts w:ascii="Arial" w:hAnsi="Arial" w:cs="Arial"/>
                <w:sz w:val="18"/>
                <w:szCs w:val="18"/>
                <w:lang w:val="en-GB"/>
              </w:rPr>
              <w:t>*</w:t>
            </w:r>
            <w:r w:rsidRPr="004338A1">
              <w:rPr>
                <w:rFonts w:ascii="Arial" w:hAnsi="Arial" w:cs="Arial"/>
                <w:sz w:val="18"/>
                <w:szCs w:val="18"/>
                <w:lang w:val="en-GB"/>
              </w:rPr>
              <w:t>Cacciottolo et al</w:t>
            </w:r>
            <w:r>
              <w:rPr>
                <w:rFonts w:ascii="Arial" w:hAnsi="Arial" w:cs="Arial"/>
                <w:sz w:val="18"/>
                <w:szCs w:val="18"/>
                <w:lang w:val="en-GB"/>
              </w:rPr>
              <w:t>.</w:t>
            </w:r>
          </w:p>
          <w:p w:rsidR="00394BE3" w:rsidRPr="004338A1"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3</w:t>
            </w:r>
            <w:r w:rsidRPr="00366692">
              <w:rPr>
                <w:rFonts w:ascii="Arial" w:hAnsi="Arial" w:cs="Arial"/>
                <w:sz w:val="18"/>
                <w:szCs w:val="18"/>
              </w:rPr>
              <w:t>]</w:t>
            </w:r>
          </w:p>
        </w:tc>
        <w:tc>
          <w:tcPr>
            <w:tcW w:w="1694" w:type="dxa"/>
            <w:tcMar>
              <w:left w:w="28" w:type="dxa"/>
              <w:right w:w="28" w:type="dxa"/>
            </w:tcMar>
            <w:vAlign w:val="center"/>
          </w:tcPr>
          <w:p w:rsidR="00394BE3" w:rsidRPr="004338A1" w:rsidRDefault="00394BE3" w:rsidP="00F06CE6">
            <w:pPr>
              <w:spacing w:after="0" w:line="240" w:lineRule="auto"/>
              <w:jc w:val="center"/>
              <w:rPr>
                <w:rFonts w:ascii="Arial" w:hAnsi="Arial" w:cs="Arial"/>
                <w:sz w:val="18"/>
                <w:szCs w:val="18"/>
                <w:lang w:val="en-GB"/>
              </w:rPr>
            </w:pPr>
          </w:p>
        </w:tc>
        <w:tc>
          <w:tcPr>
            <w:tcW w:w="1708" w:type="dxa"/>
            <w:tcMar>
              <w:left w:w="28" w:type="dxa"/>
              <w:right w:w="28" w:type="dxa"/>
            </w:tcMar>
            <w:vAlign w:val="center"/>
          </w:tcPr>
          <w:p w:rsidR="004338A1" w:rsidRDefault="004338A1" w:rsidP="00F06CE6">
            <w:pPr>
              <w:spacing w:after="0" w:line="240" w:lineRule="auto"/>
              <w:jc w:val="center"/>
              <w:rPr>
                <w:rFonts w:ascii="Arial" w:hAnsi="Arial" w:cs="Arial"/>
                <w:sz w:val="18"/>
                <w:szCs w:val="18"/>
                <w:lang w:val="en-GB"/>
              </w:rPr>
            </w:pPr>
            <w:r w:rsidRPr="004338A1">
              <w:rPr>
                <w:rFonts w:ascii="Arial" w:hAnsi="Arial" w:cs="Arial"/>
                <w:sz w:val="18"/>
                <w:szCs w:val="18"/>
                <w:lang w:val="en-GB"/>
              </w:rPr>
              <w:t>Viggiano et al</w:t>
            </w:r>
            <w:r>
              <w:rPr>
                <w:rFonts w:ascii="Arial" w:hAnsi="Arial" w:cs="Arial"/>
                <w:sz w:val="18"/>
                <w:szCs w:val="18"/>
                <w:lang w:val="en-GB"/>
              </w:rPr>
              <w:t>.</w:t>
            </w:r>
          </w:p>
          <w:p w:rsidR="00394BE3" w:rsidRPr="004338A1"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4</w:t>
            </w:r>
            <w:r w:rsidRPr="00366692">
              <w:rPr>
                <w:rFonts w:ascii="Arial" w:hAnsi="Arial" w:cs="Arial"/>
                <w:sz w:val="18"/>
                <w:szCs w:val="18"/>
              </w:rPr>
              <w:t>]</w:t>
            </w:r>
          </w:p>
        </w:tc>
        <w:tc>
          <w:tcPr>
            <w:tcW w:w="1466" w:type="dxa"/>
            <w:tcMar>
              <w:left w:w="28" w:type="dxa"/>
              <w:right w:w="28" w:type="dxa"/>
            </w:tcMar>
            <w:vAlign w:val="center"/>
          </w:tcPr>
          <w:p w:rsidR="00394BE3" w:rsidRPr="004338A1" w:rsidRDefault="00394BE3" w:rsidP="00F06CE6">
            <w:pPr>
              <w:spacing w:after="0" w:line="240" w:lineRule="auto"/>
              <w:jc w:val="center"/>
              <w:rPr>
                <w:rFonts w:ascii="Arial" w:hAnsi="Arial" w:cs="Arial"/>
                <w:sz w:val="18"/>
                <w:szCs w:val="18"/>
                <w:lang w:val="en-GB"/>
              </w:rPr>
            </w:pPr>
          </w:p>
        </w:tc>
        <w:tc>
          <w:tcPr>
            <w:tcW w:w="1587" w:type="dxa"/>
            <w:tcMar>
              <w:left w:w="28" w:type="dxa"/>
              <w:right w:w="28" w:type="dxa"/>
            </w:tcMar>
            <w:vAlign w:val="center"/>
          </w:tcPr>
          <w:p w:rsidR="00394BE3" w:rsidRDefault="004338A1" w:rsidP="00F06CE6">
            <w:pPr>
              <w:spacing w:after="0" w:line="240" w:lineRule="auto"/>
              <w:jc w:val="center"/>
              <w:rPr>
                <w:rFonts w:ascii="Arial" w:hAnsi="Arial" w:cs="Arial"/>
                <w:sz w:val="18"/>
                <w:szCs w:val="18"/>
                <w:lang w:val="en-GB"/>
              </w:rPr>
            </w:pPr>
            <w:r w:rsidRPr="004338A1">
              <w:rPr>
                <w:rFonts w:ascii="Arial" w:hAnsi="Arial" w:cs="Arial"/>
                <w:sz w:val="18"/>
                <w:szCs w:val="18"/>
                <w:lang w:val="en-GB"/>
              </w:rPr>
              <w:t>*Bello et al</w:t>
            </w:r>
            <w:r>
              <w:rPr>
                <w:rFonts w:ascii="Arial" w:hAnsi="Arial" w:cs="Arial"/>
                <w:sz w:val="18"/>
                <w:szCs w:val="18"/>
                <w:lang w:val="en-GB"/>
              </w:rPr>
              <w:t>.</w:t>
            </w:r>
          </w:p>
          <w:p w:rsidR="004338A1" w:rsidRPr="004338A1"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5</w:t>
            </w:r>
            <w:r w:rsidRPr="00366692">
              <w:rPr>
                <w:rFonts w:ascii="Arial" w:hAnsi="Arial" w:cs="Arial"/>
                <w:sz w:val="18"/>
                <w:szCs w:val="18"/>
              </w:rPr>
              <w:t>]</w:t>
            </w:r>
          </w:p>
        </w:tc>
        <w:tc>
          <w:tcPr>
            <w:tcW w:w="1587" w:type="dxa"/>
            <w:tcMar>
              <w:left w:w="28" w:type="dxa"/>
              <w:right w:w="28" w:type="dxa"/>
            </w:tcMar>
            <w:vAlign w:val="center"/>
          </w:tcPr>
          <w:p w:rsidR="00394BE3" w:rsidRPr="004338A1" w:rsidRDefault="00394BE3" w:rsidP="00F06CE6">
            <w:pPr>
              <w:spacing w:after="0" w:line="240" w:lineRule="auto"/>
              <w:ind w:left="1" w:firstLine="8"/>
              <w:jc w:val="center"/>
              <w:rPr>
                <w:rFonts w:ascii="Arial" w:hAnsi="Arial" w:cs="Arial"/>
                <w:sz w:val="18"/>
                <w:szCs w:val="18"/>
                <w:lang w:val="en-US"/>
              </w:rPr>
            </w:pPr>
          </w:p>
        </w:tc>
        <w:tc>
          <w:tcPr>
            <w:tcW w:w="1587" w:type="dxa"/>
            <w:tcMar>
              <w:left w:w="28" w:type="dxa"/>
              <w:right w:w="28" w:type="dxa"/>
            </w:tcMar>
            <w:vAlign w:val="center"/>
          </w:tcPr>
          <w:p w:rsidR="00394BE3" w:rsidRPr="004338A1" w:rsidRDefault="00394BE3" w:rsidP="00F06CE6">
            <w:pPr>
              <w:spacing w:after="0" w:line="240" w:lineRule="auto"/>
              <w:jc w:val="center"/>
              <w:rPr>
                <w:rFonts w:ascii="Arial" w:hAnsi="Arial" w:cs="Arial"/>
                <w:sz w:val="18"/>
                <w:szCs w:val="18"/>
                <w:lang w:val="en-GB"/>
              </w:rPr>
            </w:pPr>
          </w:p>
        </w:tc>
        <w:tc>
          <w:tcPr>
            <w:tcW w:w="1701" w:type="dxa"/>
            <w:tcMar>
              <w:left w:w="28" w:type="dxa"/>
              <w:right w:w="28" w:type="dxa"/>
            </w:tcMar>
            <w:vAlign w:val="center"/>
          </w:tcPr>
          <w:p w:rsidR="00394BE3" w:rsidRPr="004338A1" w:rsidRDefault="00394BE3" w:rsidP="00F06CE6">
            <w:pPr>
              <w:spacing w:after="0" w:line="240" w:lineRule="auto"/>
              <w:jc w:val="center"/>
              <w:rPr>
                <w:rFonts w:ascii="Arial" w:hAnsi="Arial" w:cs="Arial"/>
                <w:sz w:val="18"/>
                <w:szCs w:val="18"/>
                <w:lang w:val="en-GB"/>
              </w:rPr>
            </w:pPr>
          </w:p>
        </w:tc>
      </w:tr>
      <w:tr w:rsidR="00394BE3" w:rsidRPr="00366692" w:rsidTr="00F06CE6">
        <w:trPr>
          <w:trHeight w:hRule="exact" w:val="680"/>
        </w:trPr>
        <w:tc>
          <w:tcPr>
            <w:tcW w:w="1197" w:type="dxa"/>
            <w:tcBorders>
              <w:bottom w:val="single" w:sz="4" w:space="0" w:color="auto"/>
            </w:tcBorders>
            <w:tcMar>
              <w:left w:w="28" w:type="dxa"/>
              <w:right w:w="28" w:type="dxa"/>
            </w:tcMar>
            <w:vAlign w:val="center"/>
          </w:tcPr>
          <w:p w:rsidR="00394BE3" w:rsidRPr="00366692" w:rsidRDefault="00394BE3" w:rsidP="00F06CE6">
            <w:pPr>
              <w:pStyle w:val="NormaleWeb"/>
              <w:tabs>
                <w:tab w:val="left" w:pos="993"/>
              </w:tabs>
              <w:spacing w:before="0" w:beforeAutospacing="0" w:after="0" w:afterAutospacing="0"/>
              <w:jc w:val="center"/>
              <w:rPr>
                <w:rFonts w:ascii="Arial" w:hAnsi="Arial" w:cs="Arial"/>
                <w:sz w:val="18"/>
                <w:szCs w:val="18"/>
                <w:lang w:val="en-US"/>
              </w:rPr>
            </w:pPr>
            <w:r w:rsidRPr="00366692">
              <w:rPr>
                <w:rFonts w:ascii="Arial" w:eastAsia="Calibri" w:hAnsi="Arial" w:cs="Arial"/>
                <w:color w:val="000000"/>
                <w:kern w:val="24"/>
                <w:sz w:val="18"/>
                <w:szCs w:val="18"/>
                <w:lang w:val="en-GB"/>
              </w:rPr>
              <w:t>PMD</w:t>
            </w:r>
          </w:p>
        </w:tc>
        <w:tc>
          <w:tcPr>
            <w:tcW w:w="1701" w:type="dxa"/>
            <w:tcBorders>
              <w:bottom w:val="single" w:sz="4" w:space="0" w:color="auto"/>
            </w:tcBorders>
            <w:tcMar>
              <w:left w:w="28" w:type="dxa"/>
              <w:right w:w="28" w:type="dxa"/>
            </w:tcMar>
            <w:vAlign w:val="center"/>
          </w:tcPr>
          <w:p w:rsidR="00394BE3" w:rsidRDefault="00394BE3"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Panteghini et al</w:t>
            </w:r>
            <w:r>
              <w:rPr>
                <w:rFonts w:ascii="Arial" w:hAnsi="Arial" w:cs="Arial"/>
                <w:sz w:val="18"/>
                <w:szCs w:val="18"/>
                <w:lang w:val="en-GB"/>
              </w:rPr>
              <w:t>.</w:t>
            </w:r>
          </w:p>
          <w:p w:rsidR="00394BE3"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6</w:t>
            </w:r>
            <w:r w:rsidRPr="00366692">
              <w:rPr>
                <w:rFonts w:ascii="Arial" w:hAnsi="Arial" w:cs="Arial"/>
                <w:sz w:val="18"/>
                <w:szCs w:val="18"/>
              </w:rPr>
              <w:t>]</w:t>
            </w:r>
          </w:p>
        </w:tc>
        <w:tc>
          <w:tcPr>
            <w:tcW w:w="1694" w:type="dxa"/>
            <w:tcBorders>
              <w:bottom w:val="single" w:sz="4" w:space="0" w:color="auto"/>
            </w:tcBorders>
            <w:tcMar>
              <w:left w:w="28" w:type="dxa"/>
              <w:right w:w="28" w:type="dxa"/>
            </w:tcMar>
            <w:vAlign w:val="center"/>
          </w:tcPr>
          <w:p w:rsidR="00394BE3" w:rsidRDefault="00394BE3"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Haack et al</w:t>
            </w:r>
            <w:r>
              <w:rPr>
                <w:rFonts w:ascii="Arial" w:hAnsi="Arial" w:cs="Arial"/>
                <w:sz w:val="18"/>
                <w:szCs w:val="18"/>
                <w:lang w:val="en-GB"/>
              </w:rPr>
              <w:t>.</w:t>
            </w:r>
          </w:p>
          <w:p w:rsidR="00394BE3"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7</w:t>
            </w:r>
            <w:r w:rsidRPr="00366692">
              <w:rPr>
                <w:rFonts w:ascii="Arial" w:hAnsi="Arial" w:cs="Arial"/>
                <w:sz w:val="18"/>
                <w:szCs w:val="18"/>
              </w:rPr>
              <w:t>]</w:t>
            </w:r>
          </w:p>
        </w:tc>
        <w:tc>
          <w:tcPr>
            <w:tcW w:w="1708" w:type="dxa"/>
            <w:tcBorders>
              <w:bottom w:val="single" w:sz="4" w:space="0" w:color="auto"/>
            </w:tcBorders>
            <w:tcMar>
              <w:left w:w="28" w:type="dxa"/>
              <w:right w:w="28" w:type="dxa"/>
            </w:tcMar>
            <w:vAlign w:val="center"/>
          </w:tcPr>
          <w:p w:rsidR="00394BE3" w:rsidRDefault="00394BE3"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Campanella et al</w:t>
            </w:r>
            <w:r>
              <w:rPr>
                <w:rFonts w:ascii="Arial" w:hAnsi="Arial" w:cs="Arial"/>
                <w:sz w:val="18"/>
                <w:szCs w:val="18"/>
                <w:lang w:val="en-GB"/>
              </w:rPr>
              <w:t>.</w:t>
            </w:r>
          </w:p>
          <w:p w:rsidR="00394BE3"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8</w:t>
            </w:r>
            <w:r w:rsidRPr="00366692">
              <w:rPr>
                <w:rFonts w:ascii="Arial" w:hAnsi="Arial" w:cs="Arial"/>
                <w:sz w:val="18"/>
                <w:szCs w:val="18"/>
              </w:rPr>
              <w:t>]</w:t>
            </w:r>
          </w:p>
        </w:tc>
        <w:tc>
          <w:tcPr>
            <w:tcW w:w="1466" w:type="dxa"/>
            <w:tcBorders>
              <w:bottom w:val="single" w:sz="4" w:space="0" w:color="auto"/>
            </w:tcBorders>
            <w:tcMar>
              <w:left w:w="28" w:type="dxa"/>
              <w:right w:w="28" w:type="dxa"/>
            </w:tcMar>
            <w:vAlign w:val="center"/>
          </w:tcPr>
          <w:p w:rsidR="00394BE3" w:rsidRDefault="00394BE3"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Leoni et al</w:t>
            </w:r>
            <w:r>
              <w:rPr>
                <w:rFonts w:ascii="Arial" w:hAnsi="Arial" w:cs="Arial"/>
                <w:sz w:val="18"/>
                <w:szCs w:val="18"/>
                <w:lang w:val="en-GB"/>
              </w:rPr>
              <w:t>.</w:t>
            </w:r>
          </w:p>
          <w:p w:rsidR="00394BE3" w:rsidRPr="00366692" w:rsidRDefault="001E1DEE" w:rsidP="00F06CE6">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5</w:t>
            </w:r>
            <w:r>
              <w:rPr>
                <w:rFonts w:ascii="Arial" w:hAnsi="Arial" w:cs="Arial"/>
                <w:sz w:val="18"/>
                <w:szCs w:val="18"/>
              </w:rPr>
              <w:t>9</w:t>
            </w:r>
            <w:r w:rsidRPr="00366692">
              <w:rPr>
                <w:rFonts w:ascii="Arial" w:hAnsi="Arial" w:cs="Arial"/>
                <w:sz w:val="18"/>
                <w:szCs w:val="18"/>
              </w:rPr>
              <w:t>]</w:t>
            </w:r>
          </w:p>
        </w:tc>
        <w:tc>
          <w:tcPr>
            <w:tcW w:w="1587" w:type="dxa"/>
            <w:tcBorders>
              <w:bottom w:val="single" w:sz="4" w:space="0" w:color="auto"/>
            </w:tcBorders>
            <w:tcMar>
              <w:left w:w="28" w:type="dxa"/>
              <w:right w:w="28" w:type="dxa"/>
            </w:tcMar>
            <w:vAlign w:val="center"/>
          </w:tcPr>
          <w:p w:rsidR="00394BE3" w:rsidRDefault="00394BE3" w:rsidP="00F06CE6">
            <w:pPr>
              <w:spacing w:after="0" w:line="240" w:lineRule="auto"/>
              <w:jc w:val="center"/>
              <w:rPr>
                <w:rFonts w:ascii="Arial" w:hAnsi="Arial" w:cs="Arial"/>
                <w:sz w:val="18"/>
                <w:szCs w:val="18"/>
                <w:lang w:val="en-GB"/>
              </w:rPr>
            </w:pPr>
            <w:r w:rsidRPr="00366692">
              <w:rPr>
                <w:rFonts w:ascii="Arial" w:hAnsi="Arial" w:cs="Arial"/>
                <w:sz w:val="18"/>
                <w:szCs w:val="18"/>
                <w:lang w:val="en-GB"/>
              </w:rPr>
              <w:t>Chiapparini et al</w:t>
            </w:r>
            <w:r>
              <w:rPr>
                <w:rFonts w:ascii="Arial" w:hAnsi="Arial" w:cs="Arial"/>
                <w:sz w:val="18"/>
                <w:szCs w:val="18"/>
                <w:lang w:val="en-GB"/>
              </w:rPr>
              <w:t>.</w:t>
            </w:r>
          </w:p>
          <w:p w:rsidR="00394BE3" w:rsidRPr="00366692" w:rsidRDefault="001E1DEE" w:rsidP="00A23D9D">
            <w:pPr>
              <w:spacing w:after="0" w:line="240" w:lineRule="auto"/>
              <w:jc w:val="center"/>
              <w:rPr>
                <w:rFonts w:ascii="Arial" w:hAnsi="Arial" w:cs="Arial"/>
                <w:sz w:val="18"/>
                <w:szCs w:val="18"/>
                <w:lang w:val="en-GB"/>
              </w:rPr>
            </w:pPr>
            <w:r w:rsidRPr="00366692">
              <w:rPr>
                <w:rFonts w:ascii="Arial" w:hAnsi="Arial" w:cs="Arial"/>
                <w:sz w:val="18"/>
                <w:szCs w:val="18"/>
              </w:rPr>
              <w:t>[</w:t>
            </w:r>
            <w:r w:rsidR="00A23D9D">
              <w:rPr>
                <w:rFonts w:ascii="Arial" w:hAnsi="Arial" w:cs="Arial"/>
                <w:sz w:val="18"/>
                <w:szCs w:val="18"/>
              </w:rPr>
              <w:t>60</w:t>
            </w:r>
            <w:r w:rsidRPr="00366692">
              <w:rPr>
                <w:rFonts w:ascii="Arial" w:hAnsi="Arial" w:cs="Arial"/>
                <w:sz w:val="18"/>
                <w:szCs w:val="18"/>
              </w:rPr>
              <w:t>]</w:t>
            </w:r>
          </w:p>
        </w:tc>
        <w:tc>
          <w:tcPr>
            <w:tcW w:w="1587" w:type="dxa"/>
            <w:tcBorders>
              <w:bottom w:val="single" w:sz="4" w:space="0" w:color="auto"/>
            </w:tcBorders>
            <w:tcMar>
              <w:left w:w="28" w:type="dxa"/>
              <w:right w:w="28" w:type="dxa"/>
            </w:tcMar>
            <w:vAlign w:val="center"/>
          </w:tcPr>
          <w:p w:rsidR="00394BE3" w:rsidRPr="00366692" w:rsidRDefault="00394BE3" w:rsidP="00F06CE6">
            <w:pPr>
              <w:spacing w:after="0" w:line="240" w:lineRule="auto"/>
              <w:jc w:val="center"/>
              <w:rPr>
                <w:rFonts w:ascii="Arial" w:hAnsi="Arial" w:cs="Arial"/>
                <w:sz w:val="18"/>
                <w:szCs w:val="18"/>
                <w:lang w:val="en-GB"/>
              </w:rPr>
            </w:pPr>
          </w:p>
        </w:tc>
        <w:tc>
          <w:tcPr>
            <w:tcW w:w="1587" w:type="dxa"/>
            <w:tcBorders>
              <w:bottom w:val="single" w:sz="4" w:space="0" w:color="auto"/>
            </w:tcBorders>
            <w:tcMar>
              <w:left w:w="28" w:type="dxa"/>
              <w:right w:w="28" w:type="dxa"/>
            </w:tcMar>
            <w:vAlign w:val="center"/>
          </w:tcPr>
          <w:p w:rsidR="00394BE3" w:rsidRDefault="00394BE3" w:rsidP="00F06CE6">
            <w:pPr>
              <w:spacing w:after="0" w:line="240" w:lineRule="auto"/>
              <w:ind w:left="1" w:firstLine="8"/>
              <w:jc w:val="center"/>
              <w:rPr>
                <w:rFonts w:ascii="Arial" w:hAnsi="Arial" w:cs="Arial"/>
                <w:sz w:val="18"/>
                <w:szCs w:val="18"/>
                <w:lang w:val="en-US"/>
              </w:rPr>
            </w:pPr>
            <w:r w:rsidRPr="00366692">
              <w:rPr>
                <w:rFonts w:ascii="Arial" w:hAnsi="Arial" w:cs="Arial"/>
                <w:sz w:val="18"/>
                <w:szCs w:val="18"/>
                <w:lang w:val="en-US"/>
              </w:rPr>
              <w:t>*Santorelli et al</w:t>
            </w:r>
            <w:r>
              <w:rPr>
                <w:rFonts w:ascii="Arial" w:hAnsi="Arial" w:cs="Arial"/>
                <w:sz w:val="18"/>
                <w:szCs w:val="18"/>
                <w:lang w:val="en-US"/>
              </w:rPr>
              <w:t>.</w:t>
            </w:r>
          </w:p>
          <w:p w:rsidR="00E53D1A" w:rsidRDefault="001E1DEE" w:rsidP="00F06CE6">
            <w:pPr>
              <w:spacing w:after="0" w:line="240" w:lineRule="auto"/>
              <w:ind w:left="1" w:firstLine="8"/>
              <w:jc w:val="center"/>
              <w:rPr>
                <w:rFonts w:ascii="Arial" w:hAnsi="Arial" w:cs="Arial"/>
                <w:sz w:val="18"/>
                <w:szCs w:val="18"/>
                <w:lang w:val="en-US"/>
              </w:rPr>
            </w:pPr>
            <w:r w:rsidRPr="00366692">
              <w:rPr>
                <w:rFonts w:ascii="Arial" w:hAnsi="Arial" w:cs="Arial"/>
                <w:sz w:val="18"/>
                <w:szCs w:val="18"/>
              </w:rPr>
              <w:t>[</w:t>
            </w:r>
            <w:r w:rsidR="00480AFC">
              <w:rPr>
                <w:rFonts w:ascii="Arial" w:hAnsi="Arial" w:cs="Arial"/>
                <w:sz w:val="18"/>
                <w:szCs w:val="18"/>
              </w:rPr>
              <w:t>61</w:t>
            </w:r>
            <w:r w:rsidRPr="00366692">
              <w:rPr>
                <w:rFonts w:ascii="Arial" w:hAnsi="Arial" w:cs="Arial"/>
                <w:sz w:val="18"/>
                <w:szCs w:val="18"/>
              </w:rPr>
              <w:t>]</w:t>
            </w:r>
          </w:p>
        </w:tc>
        <w:tc>
          <w:tcPr>
            <w:tcW w:w="1701" w:type="dxa"/>
            <w:tcBorders>
              <w:bottom w:val="single" w:sz="4" w:space="0" w:color="auto"/>
            </w:tcBorders>
            <w:tcMar>
              <w:left w:w="28" w:type="dxa"/>
              <w:right w:w="28" w:type="dxa"/>
            </w:tcMar>
            <w:vAlign w:val="center"/>
          </w:tcPr>
          <w:p w:rsidR="00394BE3" w:rsidRPr="00366692" w:rsidRDefault="00394BE3" w:rsidP="00F06CE6">
            <w:pPr>
              <w:spacing w:after="0" w:line="240" w:lineRule="auto"/>
              <w:jc w:val="center"/>
              <w:rPr>
                <w:rFonts w:ascii="Arial" w:hAnsi="Arial" w:cs="Arial"/>
                <w:sz w:val="18"/>
                <w:szCs w:val="18"/>
                <w:lang w:val="en-GB"/>
              </w:rPr>
            </w:pPr>
          </w:p>
        </w:tc>
      </w:tr>
      <w:tr w:rsidR="00394BE3" w:rsidRPr="00856077" w:rsidTr="00F06CE6">
        <w:tc>
          <w:tcPr>
            <w:tcW w:w="14228" w:type="dxa"/>
            <w:gridSpan w:val="9"/>
            <w:tcBorders>
              <w:left w:val="nil"/>
              <w:bottom w:val="nil"/>
              <w:right w:val="nil"/>
            </w:tcBorders>
            <w:tcMar>
              <w:left w:w="28" w:type="dxa"/>
              <w:right w:w="28" w:type="dxa"/>
            </w:tcMar>
            <w:vAlign w:val="center"/>
          </w:tcPr>
          <w:p w:rsidR="00394BE3" w:rsidRPr="00366692" w:rsidRDefault="00394BE3" w:rsidP="00F06CE6">
            <w:pPr>
              <w:jc w:val="both"/>
              <w:rPr>
                <w:rFonts w:ascii="Arial" w:hAnsi="Arial" w:cs="Arial"/>
                <w:sz w:val="18"/>
                <w:szCs w:val="18"/>
                <w:lang w:val="en-GB"/>
              </w:rPr>
            </w:pPr>
            <w:r w:rsidRPr="00366692">
              <w:rPr>
                <w:rFonts w:ascii="Arial" w:hAnsi="Arial" w:cs="Arial"/>
                <w:sz w:val="18"/>
                <w:szCs w:val="18"/>
                <w:lang w:val="en-GB"/>
              </w:rPr>
              <w:t xml:space="preserve">* Asterisk denotes manuscripts resulting from service provided by more than one Biobank </w:t>
            </w:r>
          </w:p>
        </w:tc>
      </w:tr>
    </w:tbl>
    <w:p w:rsidR="0041622F" w:rsidRDefault="0041622F" w:rsidP="00D571C4">
      <w:pPr>
        <w:rPr>
          <w:b/>
          <w:lang w:val="en-US"/>
        </w:rPr>
      </w:pPr>
    </w:p>
    <w:p w:rsidR="00BA4BBA" w:rsidRPr="00BA4BBA" w:rsidRDefault="00BA4BBA" w:rsidP="00BA4BBA">
      <w:pPr>
        <w:pStyle w:val="Paragrafoelenco"/>
        <w:tabs>
          <w:tab w:val="left" w:pos="426"/>
        </w:tabs>
        <w:spacing w:after="0"/>
        <w:ind w:left="426"/>
        <w:rPr>
          <w:rFonts w:ascii="Arial" w:hAnsi="Arial" w:cs="Arial"/>
        </w:rPr>
      </w:pPr>
    </w:p>
    <w:p w:rsidR="00856077" w:rsidRDefault="00856077" w:rsidP="00856077">
      <w:pPr>
        <w:pStyle w:val="Paragrafoelenco"/>
        <w:tabs>
          <w:tab w:val="left" w:pos="426"/>
        </w:tabs>
        <w:spacing w:after="0"/>
        <w:ind w:left="426"/>
        <w:contextualSpacing w:val="0"/>
        <w:jc w:val="both"/>
        <w:rPr>
          <w:rFonts w:ascii="Arial" w:hAnsi="Arial" w:cs="Arial"/>
        </w:rPr>
        <w:sectPr w:rsidR="00856077" w:rsidSect="00856077">
          <w:pgSz w:w="16838" w:h="11906" w:orient="landscape"/>
          <w:pgMar w:top="1134" w:right="1134" w:bottom="1134" w:left="1418" w:header="709" w:footer="709" w:gutter="0"/>
          <w:cols w:space="708"/>
          <w:docGrid w:linePitch="360"/>
        </w:sectPr>
      </w:pPr>
    </w:p>
    <w:p w:rsidR="00856077" w:rsidRDefault="00856077" w:rsidP="00856077">
      <w:pPr>
        <w:tabs>
          <w:tab w:val="left" w:pos="426"/>
        </w:tabs>
        <w:spacing w:after="0"/>
        <w:rPr>
          <w:rFonts w:ascii="Arial" w:hAnsi="Arial" w:cs="Arial"/>
          <w:b/>
          <w:lang w:val="en-GB"/>
        </w:rPr>
      </w:pPr>
      <w:r w:rsidRPr="00856077">
        <w:rPr>
          <w:rFonts w:ascii="Arial" w:hAnsi="Arial" w:cs="Arial"/>
          <w:b/>
          <w:lang w:val="en-GB"/>
        </w:rPr>
        <w:lastRenderedPageBreak/>
        <w:t>Table S1 References</w:t>
      </w:r>
    </w:p>
    <w:p w:rsidR="00856077" w:rsidRPr="00856077" w:rsidRDefault="00856077" w:rsidP="00856077">
      <w:pPr>
        <w:tabs>
          <w:tab w:val="left" w:pos="426"/>
        </w:tabs>
        <w:spacing w:after="0"/>
        <w:rPr>
          <w:rFonts w:ascii="Arial" w:hAnsi="Arial" w:cs="Arial"/>
          <w:b/>
          <w:lang w:val="en-GB"/>
        </w:rPr>
      </w:pPr>
    </w:p>
    <w:p w:rsidR="002740CF" w:rsidRPr="002740CF" w:rsidRDefault="0041622F">
      <w:pPr>
        <w:pStyle w:val="Paragrafoelenco"/>
        <w:numPr>
          <w:ilvl w:val="0"/>
          <w:numId w:val="1"/>
        </w:numPr>
        <w:tabs>
          <w:tab w:val="left" w:pos="426"/>
        </w:tabs>
        <w:spacing w:after="0"/>
        <w:ind w:left="426" w:hanging="426"/>
        <w:contextualSpacing w:val="0"/>
        <w:jc w:val="both"/>
        <w:rPr>
          <w:rFonts w:ascii="Arial" w:hAnsi="Arial" w:cs="Arial"/>
        </w:rPr>
      </w:pPr>
      <w:r w:rsidRPr="00856077">
        <w:rPr>
          <w:rFonts w:ascii="Arial" w:hAnsi="Arial" w:cs="Arial"/>
          <w:lang w:val="en-GB"/>
        </w:rPr>
        <w:t xml:space="preserve">Biancheri R, Zara F, Rossi A, Mathot M, Nassogne MC, Yalcinkaya C, Erturk O, Tuysuz B, Di Rocco M, Gazzerro E, Bugiani M, van Spaendonk R, Sistermans EA, Minetti C, van der Knaap MS, Wolf NI: </w:t>
      </w:r>
      <w:r w:rsidRPr="00856077">
        <w:rPr>
          <w:rFonts w:ascii="Arial" w:hAnsi="Arial" w:cs="Arial"/>
          <w:b/>
          <w:lang w:val="en-GB"/>
        </w:rPr>
        <w:t xml:space="preserve">Hypomyelination and congenital cataract: broadening the clinical phenotype. </w:t>
      </w:r>
      <w:r w:rsidR="002740CF" w:rsidRPr="002740CF">
        <w:rPr>
          <w:rFonts w:ascii="Arial" w:hAnsi="Arial" w:cs="Arial"/>
          <w:i/>
        </w:rPr>
        <w:t>Arch Neurol</w:t>
      </w:r>
      <w:r w:rsidR="002740CF" w:rsidRPr="002740CF">
        <w:rPr>
          <w:rFonts w:ascii="Arial" w:hAnsi="Arial" w:cs="Arial"/>
        </w:rPr>
        <w:t xml:space="preserve"> 2011, </w:t>
      </w:r>
      <w:r w:rsidR="002740CF" w:rsidRPr="002740CF">
        <w:rPr>
          <w:rFonts w:ascii="Arial" w:hAnsi="Arial" w:cs="Arial"/>
          <w:b/>
        </w:rPr>
        <w:t>68:</w:t>
      </w:r>
      <w:r w:rsidR="002740CF" w:rsidRPr="002740CF">
        <w:rPr>
          <w:rFonts w:ascii="Arial" w:hAnsi="Arial" w:cs="Arial"/>
        </w:rPr>
        <w:t>1191-1194.</w:t>
      </w:r>
    </w:p>
    <w:p w:rsidR="00000000" w:rsidRDefault="002740CF">
      <w:pPr>
        <w:pStyle w:val="Paragrafoelenco"/>
        <w:numPr>
          <w:ilvl w:val="0"/>
          <w:numId w:val="1"/>
        </w:numPr>
        <w:tabs>
          <w:tab w:val="left" w:pos="426"/>
        </w:tabs>
        <w:spacing w:after="0"/>
        <w:ind w:left="426" w:hanging="426"/>
        <w:contextualSpacing w:val="0"/>
        <w:jc w:val="both"/>
        <w:rPr>
          <w:rFonts w:ascii="Arial" w:hAnsi="Arial" w:cs="Arial"/>
        </w:rPr>
      </w:pPr>
      <w:r w:rsidRPr="002740CF">
        <w:rPr>
          <w:rFonts w:ascii="Arial" w:hAnsi="Arial" w:cs="Arial"/>
        </w:rPr>
        <w:t xml:space="preserve">Hennies HC, Kornak U, Zhang H, Egerer J, Zhang X, Seifert W, Kühnisch J, Budde B, Nätebus M, Brancati F, Wilcox WR, Müller D, Kaplan PB, Rajab A, Zampino G, Fodale V, Dallapiccola B, Newman W, Metcalfe K, Clayton-Smith J, Tassabehji M, Steinmann B, Barr FA, Nürnberg P, Wieacker P, Mundlos S: </w:t>
      </w:r>
      <w:r w:rsidRPr="002740CF">
        <w:rPr>
          <w:rFonts w:ascii="Arial" w:hAnsi="Arial" w:cs="Arial"/>
          <w:b/>
        </w:rPr>
        <w:t>Gerodermia osteodysplastica is caused by mutations in SCYL1BP1, a Rab-6 interacting golgin.</w:t>
      </w:r>
      <w:r w:rsidRPr="002740CF">
        <w:rPr>
          <w:rFonts w:ascii="Arial" w:hAnsi="Arial" w:cs="Arial"/>
        </w:rPr>
        <w:t xml:space="preserve"> </w:t>
      </w:r>
      <w:r w:rsidR="0041622F" w:rsidRPr="00480AFC">
        <w:rPr>
          <w:rFonts w:ascii="Arial" w:hAnsi="Arial" w:cs="Arial"/>
          <w:i/>
        </w:rPr>
        <w:t xml:space="preserve">Nat Genet </w:t>
      </w:r>
      <w:r w:rsidR="0041622F" w:rsidRPr="00480AFC">
        <w:rPr>
          <w:rFonts w:ascii="Arial" w:hAnsi="Arial" w:cs="Arial"/>
        </w:rPr>
        <w:t xml:space="preserve">2008, </w:t>
      </w:r>
      <w:r w:rsidR="0041622F" w:rsidRPr="00480AFC">
        <w:rPr>
          <w:rFonts w:ascii="Arial" w:hAnsi="Arial" w:cs="Arial"/>
          <w:b/>
        </w:rPr>
        <w:t>40:</w:t>
      </w:r>
      <w:r w:rsidR="0041622F" w:rsidRPr="00480AFC">
        <w:rPr>
          <w:rFonts w:ascii="Arial" w:hAnsi="Arial" w:cs="Arial"/>
        </w:rPr>
        <w:t>1410-1412.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Chiefari E, Iiritano S, Paonessa F, Le Pera I, Arcidiacono B, Filocamo M, Foti D, Liebhaber SA, Brunetti A: </w:t>
      </w:r>
      <w:r w:rsidRPr="00480AFC">
        <w:rPr>
          <w:rFonts w:ascii="Arial" w:hAnsi="Arial" w:cs="Arial"/>
          <w:b/>
        </w:rPr>
        <w:t>Pseudogene-mediated posttranscriptional silencing of HMGA1 can result in insulin resistance and type 2 diabetes.</w:t>
      </w:r>
      <w:r w:rsidRPr="00480AFC">
        <w:rPr>
          <w:rFonts w:ascii="Arial" w:hAnsi="Arial" w:cs="Arial"/>
        </w:rPr>
        <w:t xml:space="preserve"> </w:t>
      </w:r>
      <w:r w:rsidRPr="00480AFC">
        <w:rPr>
          <w:rFonts w:ascii="Arial" w:hAnsi="Arial" w:cs="Arial"/>
          <w:i/>
          <w:lang w:val="en-GB"/>
        </w:rPr>
        <w:t>Nat Commun</w:t>
      </w:r>
      <w:r w:rsidRPr="00480AFC">
        <w:rPr>
          <w:rFonts w:ascii="Arial" w:hAnsi="Arial" w:cs="Arial"/>
          <w:lang w:val="en-GB"/>
        </w:rPr>
        <w:t xml:space="preserve"> 2010, </w:t>
      </w:r>
      <w:r w:rsidRPr="00480AFC">
        <w:rPr>
          <w:rFonts w:ascii="Arial" w:hAnsi="Arial" w:cs="Arial"/>
          <w:b/>
          <w:lang w:val="en-GB"/>
        </w:rPr>
        <w:t>27:</w:t>
      </w:r>
      <w:r w:rsidRPr="00480AFC">
        <w:rPr>
          <w:rFonts w:ascii="Arial" w:hAnsi="Arial" w:cs="Arial"/>
          <w:lang w:val="en-GB"/>
        </w:rPr>
        <w:t>1-40.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Fuccio A, Iorio M, Amato F, Elce A, Ingino R, Filocamo M, Castaldo G, Salvatore F, Tomaiuolo R: </w:t>
      </w:r>
      <w:r w:rsidRPr="00480AFC">
        <w:rPr>
          <w:rFonts w:ascii="Arial" w:hAnsi="Arial" w:cs="Arial"/>
          <w:b/>
          <w:lang w:val="en-GB"/>
        </w:rPr>
        <w:t>A Novel DHPLC-Based Procedure for the Analysis of COL1A1 and COL1A2 Mutations in Osteogenesis Imperfecta.</w:t>
      </w:r>
      <w:r w:rsidRPr="00480AFC">
        <w:rPr>
          <w:rFonts w:ascii="Arial" w:hAnsi="Arial" w:cs="Arial"/>
          <w:lang w:val="en-GB"/>
        </w:rPr>
        <w:t xml:space="preserve"> </w:t>
      </w:r>
      <w:r w:rsidRPr="00480AFC">
        <w:rPr>
          <w:rFonts w:ascii="Arial" w:hAnsi="Arial" w:cs="Arial"/>
          <w:i/>
          <w:lang w:val="en-GB"/>
        </w:rPr>
        <w:t>J Mol Diagn</w:t>
      </w:r>
      <w:r w:rsidRPr="00480AFC">
        <w:rPr>
          <w:rFonts w:ascii="Arial" w:hAnsi="Arial" w:cs="Arial"/>
          <w:lang w:val="en-GB"/>
        </w:rPr>
        <w:t xml:space="preserve"> 2011, </w:t>
      </w:r>
      <w:r w:rsidRPr="00480AFC">
        <w:rPr>
          <w:rFonts w:ascii="Arial" w:hAnsi="Arial" w:cs="Arial"/>
          <w:b/>
          <w:lang w:val="en-GB"/>
        </w:rPr>
        <w:t>13:</w:t>
      </w:r>
      <w:r w:rsidRPr="00480AFC">
        <w:rPr>
          <w:rFonts w:ascii="Arial" w:hAnsi="Arial" w:cs="Arial"/>
          <w:lang w:val="en-GB"/>
        </w:rPr>
        <w:t>648-656.</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Tappino B, Chuzhanova NA, Regis S, Dardis A, Corsolini F, Stroppiano M, Tonoli E, Beccari T, Rosano C, Mucha J, Blanco M, Szlago M, Di Rocco M, Cooper DN, Filocamo M: Molecular </w:t>
      </w:r>
      <w:r w:rsidRPr="00480AFC">
        <w:rPr>
          <w:rFonts w:ascii="Arial" w:hAnsi="Arial" w:cs="Arial"/>
          <w:b/>
          <w:lang w:val="en-GB"/>
        </w:rPr>
        <w:t>characterization of 22 novel UDP-N-acetylglucosamine-1-phosphate transferase alpha- and beta-subunit (GNPTAB) gene mutations causing mucolipidosis types II alpha/beta and III alpha/beta in 46 patients.</w:t>
      </w:r>
      <w:r w:rsidRPr="00480AFC">
        <w:rPr>
          <w:rFonts w:ascii="Arial" w:hAnsi="Arial" w:cs="Arial"/>
          <w:lang w:val="en-GB"/>
        </w:rPr>
        <w:t xml:space="preserve"> </w:t>
      </w:r>
      <w:r w:rsidRPr="00480AFC">
        <w:rPr>
          <w:rFonts w:ascii="Arial" w:hAnsi="Arial" w:cs="Arial"/>
          <w:i/>
          <w:lang w:val="en-GB"/>
        </w:rPr>
        <w:t>Hum Mutat</w:t>
      </w:r>
      <w:r w:rsidRPr="00480AFC">
        <w:rPr>
          <w:rFonts w:ascii="Arial" w:hAnsi="Arial" w:cs="Arial"/>
          <w:lang w:val="en-GB"/>
        </w:rPr>
        <w:t xml:space="preserve"> 2009, </w:t>
      </w:r>
      <w:r w:rsidRPr="00480AFC">
        <w:rPr>
          <w:rFonts w:ascii="Arial" w:hAnsi="Arial" w:cs="Arial"/>
          <w:b/>
          <w:lang w:val="en-GB"/>
        </w:rPr>
        <w:t>30:</w:t>
      </w:r>
      <w:r w:rsidRPr="00480AFC">
        <w:rPr>
          <w:rFonts w:ascii="Arial" w:hAnsi="Arial" w:cs="Arial"/>
          <w:lang w:val="en-GB"/>
        </w:rPr>
        <w:t>E956-E973.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Porto C, Cardone M, Fontana F, Rossi B, Tuzzi MR, Tarallo A, Barone MV, Andria G, Parenti G: </w:t>
      </w:r>
      <w:r w:rsidRPr="00480AFC">
        <w:rPr>
          <w:rFonts w:ascii="Arial" w:hAnsi="Arial" w:cs="Arial"/>
          <w:b/>
          <w:lang w:val="en-GB"/>
        </w:rPr>
        <w:t>The pharmacological chaperone N-butyldeoxynojirimycin enhances enzyme replacement therapy in Pompe disease fibroblasts.</w:t>
      </w:r>
      <w:r w:rsidRPr="00480AFC">
        <w:rPr>
          <w:rFonts w:ascii="Arial" w:hAnsi="Arial" w:cs="Arial"/>
          <w:lang w:val="en-GB"/>
        </w:rPr>
        <w:t xml:space="preserve"> </w:t>
      </w:r>
      <w:r w:rsidRPr="00480AFC">
        <w:rPr>
          <w:rFonts w:ascii="Arial" w:hAnsi="Arial" w:cs="Arial"/>
          <w:i/>
          <w:lang w:val="en-GB"/>
        </w:rPr>
        <w:t>Mol Ther</w:t>
      </w:r>
      <w:r w:rsidRPr="00480AFC">
        <w:rPr>
          <w:rFonts w:ascii="Arial" w:hAnsi="Arial" w:cs="Arial"/>
          <w:lang w:val="en-GB"/>
        </w:rPr>
        <w:t xml:space="preserve"> 2009, </w:t>
      </w:r>
      <w:r w:rsidRPr="00480AFC">
        <w:rPr>
          <w:rFonts w:ascii="Arial" w:hAnsi="Arial" w:cs="Arial"/>
          <w:b/>
          <w:lang w:val="en-GB"/>
        </w:rPr>
        <w:t>17:</w:t>
      </w:r>
      <w:r w:rsidRPr="00480AFC">
        <w:rPr>
          <w:rFonts w:ascii="Arial" w:hAnsi="Arial" w:cs="Arial"/>
          <w:lang w:val="en-GB"/>
        </w:rPr>
        <w:t>964-971.</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Santamaria R, Michelakakis H, Moraitou M, Dimitriou E, Dominissini S, Grossi S, Sánchez-Ollé G, Chabás A, Pittis MG, Filocamo M, Vilageliu L, Grinberg D: </w:t>
      </w:r>
      <w:r w:rsidRPr="00480AFC">
        <w:rPr>
          <w:rFonts w:ascii="Arial" w:hAnsi="Arial" w:cs="Arial"/>
          <w:b/>
          <w:lang w:val="en-GB"/>
        </w:rPr>
        <w:t>Haplotype analysis suggests a single Balkan origin for the Gaucher disease [D409H;H255Q] double mutant allele.</w:t>
      </w:r>
      <w:r w:rsidRPr="00480AFC">
        <w:rPr>
          <w:rFonts w:ascii="Arial" w:hAnsi="Arial" w:cs="Arial"/>
          <w:lang w:val="en-GB"/>
        </w:rPr>
        <w:t xml:space="preserve"> </w:t>
      </w:r>
      <w:r w:rsidRPr="00480AFC">
        <w:rPr>
          <w:rFonts w:ascii="Arial" w:hAnsi="Arial" w:cs="Arial"/>
          <w:i/>
          <w:lang w:val="en-GB"/>
        </w:rPr>
        <w:t>Hum Mutat</w:t>
      </w:r>
      <w:r w:rsidRPr="00480AFC">
        <w:rPr>
          <w:rFonts w:ascii="Arial" w:hAnsi="Arial" w:cs="Arial"/>
          <w:lang w:val="en-GB"/>
        </w:rPr>
        <w:t xml:space="preserve"> 2008, </w:t>
      </w:r>
      <w:r w:rsidRPr="00480AFC">
        <w:rPr>
          <w:rFonts w:ascii="Arial" w:hAnsi="Arial" w:cs="Arial"/>
          <w:b/>
          <w:lang w:val="en-GB"/>
        </w:rPr>
        <w:t>29:</w:t>
      </w:r>
      <w:r w:rsidRPr="00480AFC">
        <w:rPr>
          <w:rFonts w:ascii="Arial" w:hAnsi="Arial" w:cs="Arial"/>
          <w:lang w:val="en-GB"/>
        </w:rPr>
        <w:t>E58-67.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Caiazzo M, Dell'anno MT, Dvoretskova E, Lazarevic D, Taverna S, Leo D, Sotnikova TD, Menegon A, Roncaglia P, Colciago G, Russo G, Carninci P, Pezzoli G, Gainetdinov RR, Gustincich S, Dityatev A, Broccoli V: </w:t>
      </w:r>
      <w:r w:rsidRPr="00480AFC">
        <w:rPr>
          <w:rFonts w:ascii="Arial" w:hAnsi="Arial" w:cs="Arial"/>
          <w:b/>
          <w:lang w:val="en-GB"/>
        </w:rPr>
        <w:t>Direct generation of functional dopaminergic neurons from mouse and human fibroblasts.</w:t>
      </w:r>
      <w:r w:rsidRPr="00480AFC">
        <w:rPr>
          <w:rFonts w:ascii="Arial" w:hAnsi="Arial" w:cs="Arial"/>
          <w:lang w:val="en-GB"/>
        </w:rPr>
        <w:t xml:space="preserve"> </w:t>
      </w:r>
      <w:r w:rsidRPr="00480AFC">
        <w:rPr>
          <w:rFonts w:ascii="Arial" w:hAnsi="Arial" w:cs="Arial"/>
          <w:i/>
          <w:lang w:val="en-GB"/>
        </w:rPr>
        <w:t>Nature</w:t>
      </w:r>
      <w:r w:rsidRPr="00480AFC">
        <w:rPr>
          <w:rFonts w:ascii="Arial" w:hAnsi="Arial" w:cs="Arial"/>
          <w:lang w:val="en-GB"/>
        </w:rPr>
        <w:t xml:space="preserve"> 2011, </w:t>
      </w:r>
      <w:r w:rsidRPr="00480AFC">
        <w:rPr>
          <w:rFonts w:ascii="Arial" w:hAnsi="Arial" w:cs="Arial"/>
          <w:b/>
          <w:lang w:val="en-GB"/>
        </w:rPr>
        <w:t>476:</w:t>
      </w:r>
      <w:r w:rsidRPr="00480AFC">
        <w:rPr>
          <w:rFonts w:ascii="Arial" w:hAnsi="Arial" w:cs="Arial"/>
          <w:lang w:val="en-GB"/>
        </w:rPr>
        <w:t>224-227.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Nikkel SM, Dauber A, de Munnik S, Connolly M, Hood RL, Caluseriu O, Hurst J, Kini U, Nowaczyk MJ, Afenjar A, Albrecht B, Allanson JE, Balestri P, Ben-Omran T, Brancati F, Cordeiro I, da Cunha BS, Delaney LA, Destrée A, Fitzpatrick D, Forzano F, Ghali N, Gillies G, Harwood K, Hendriks YM, Héron D, Hoischen A, Honey EM, Hoefsloot LH, Ibrahim J, et al.:</w:t>
      </w:r>
      <w:r w:rsidR="00A23D9D">
        <w:rPr>
          <w:rFonts w:ascii="Arial" w:hAnsi="Arial" w:cs="Arial"/>
          <w:lang w:val="en-GB"/>
        </w:rPr>
        <w:t xml:space="preserve"> </w:t>
      </w:r>
      <w:r w:rsidRPr="00480AFC">
        <w:rPr>
          <w:rFonts w:ascii="Arial" w:hAnsi="Arial" w:cs="Arial"/>
          <w:b/>
          <w:lang w:val="en-GB"/>
        </w:rPr>
        <w:t>The phenotype of floating-harbor syndrome: clinical characterization of 52 individuals with mutations in exon 34 of SRCAP.</w:t>
      </w:r>
      <w:r w:rsidRPr="00480AFC">
        <w:rPr>
          <w:rFonts w:ascii="Arial" w:hAnsi="Arial" w:cs="Arial"/>
          <w:lang w:val="en-GB"/>
        </w:rPr>
        <w:t xml:space="preserve"> </w:t>
      </w:r>
      <w:r w:rsidRPr="00480AFC">
        <w:rPr>
          <w:rFonts w:ascii="Arial" w:hAnsi="Arial" w:cs="Arial"/>
          <w:i/>
          <w:lang w:val="en-GB"/>
        </w:rPr>
        <w:t>Orphanet J Rare Dis</w:t>
      </w:r>
      <w:r w:rsidRPr="00480AFC">
        <w:rPr>
          <w:rFonts w:ascii="Arial" w:hAnsi="Arial" w:cs="Arial"/>
          <w:lang w:val="en-GB"/>
        </w:rPr>
        <w:t xml:space="preserve"> 2013, </w:t>
      </w:r>
      <w:r w:rsidRPr="00480AFC">
        <w:rPr>
          <w:rFonts w:ascii="Arial" w:hAnsi="Arial" w:cs="Arial"/>
          <w:b/>
          <w:lang w:val="en-GB"/>
        </w:rPr>
        <w:t>8:</w:t>
      </w:r>
      <w:r w:rsidRPr="00480AFC">
        <w:rPr>
          <w:rFonts w:ascii="Arial" w:hAnsi="Arial" w:cs="Arial"/>
          <w:lang w:val="en-GB"/>
        </w:rPr>
        <w:t>63.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De Vita S, Canzonetta C, Mulligan C, Delom F, Groet J, Baldo C, Vanes L, Dagna-Bricarelli F, Hoischen A, Veltman J, Fisher EM, Tybulewicz VL, Nizetic D: </w:t>
      </w:r>
      <w:r w:rsidRPr="00480AFC">
        <w:rPr>
          <w:rFonts w:ascii="Arial" w:hAnsi="Arial" w:cs="Arial"/>
          <w:b/>
          <w:lang w:val="en-GB"/>
        </w:rPr>
        <w:t>Trisomic dose of several chromosome 21 genes perturbs haematopoietic stem and progenitor cell differentiation in Down's syndrome.</w:t>
      </w:r>
      <w:r w:rsidRPr="00480AFC">
        <w:rPr>
          <w:rFonts w:ascii="Arial" w:hAnsi="Arial" w:cs="Arial"/>
          <w:lang w:val="en-GB"/>
        </w:rPr>
        <w:t xml:space="preserve"> </w:t>
      </w:r>
      <w:r w:rsidRPr="00480AFC">
        <w:rPr>
          <w:rFonts w:ascii="Arial" w:hAnsi="Arial" w:cs="Arial"/>
          <w:i/>
          <w:lang w:val="en-GB"/>
        </w:rPr>
        <w:t>Oncogene</w:t>
      </w:r>
      <w:r w:rsidRPr="00480AFC">
        <w:rPr>
          <w:rFonts w:ascii="Arial" w:hAnsi="Arial" w:cs="Arial"/>
          <w:lang w:val="en-GB"/>
        </w:rPr>
        <w:t xml:space="preserve"> 2010, </w:t>
      </w:r>
      <w:r w:rsidRPr="00480AFC">
        <w:rPr>
          <w:rFonts w:ascii="Arial" w:hAnsi="Arial" w:cs="Arial"/>
          <w:b/>
          <w:lang w:val="en-GB"/>
        </w:rPr>
        <w:t>29:</w:t>
      </w:r>
      <w:r w:rsidRPr="00480AFC">
        <w:rPr>
          <w:rFonts w:ascii="Arial" w:hAnsi="Arial" w:cs="Arial"/>
          <w:lang w:val="en-GB"/>
        </w:rPr>
        <w:t>6102-6114.</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Sessarego N, Parodi A, Podestà M, Benvenuto F, Mogni M, Raviolo V, Lituania M, Kunkl A, Ferlazzo G, Bricarelli FD, Uccelli A, Frassoni F: </w:t>
      </w:r>
      <w:r w:rsidRPr="00480AFC">
        <w:rPr>
          <w:rFonts w:ascii="Arial" w:hAnsi="Arial" w:cs="Arial"/>
          <w:b/>
          <w:lang w:val="en-GB"/>
        </w:rPr>
        <w:t>Multipotent mesenchymal stromal cells from amniotic fluid: solid perspectives for clinical application.</w:t>
      </w:r>
      <w:r w:rsidRPr="00480AFC">
        <w:rPr>
          <w:rFonts w:ascii="Arial" w:hAnsi="Arial" w:cs="Arial"/>
          <w:lang w:val="en-GB"/>
        </w:rPr>
        <w:t xml:space="preserve"> </w:t>
      </w:r>
      <w:r w:rsidRPr="00480AFC">
        <w:rPr>
          <w:rFonts w:ascii="Arial" w:hAnsi="Arial" w:cs="Arial"/>
          <w:i/>
          <w:lang w:val="en-GB"/>
        </w:rPr>
        <w:t>Haematologica</w:t>
      </w:r>
      <w:r w:rsidRPr="00480AFC">
        <w:rPr>
          <w:rFonts w:ascii="Arial" w:hAnsi="Arial" w:cs="Arial"/>
          <w:lang w:val="en-GB"/>
        </w:rPr>
        <w:t xml:space="preserve"> 2008, </w:t>
      </w:r>
      <w:r w:rsidRPr="00480AFC">
        <w:rPr>
          <w:rFonts w:ascii="Arial" w:hAnsi="Arial" w:cs="Arial"/>
          <w:b/>
          <w:lang w:val="en-GB"/>
        </w:rPr>
        <w:t>93:</w:t>
      </w:r>
      <w:r w:rsidRPr="00480AFC">
        <w:rPr>
          <w:rFonts w:ascii="Arial" w:hAnsi="Arial" w:cs="Arial"/>
          <w:lang w:val="en-GB"/>
        </w:rPr>
        <w:t>339-346.</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Colombo EA, Bazan JF, Negri G, Gervasini C, Elcioglu NH, Yucelten D, Altunay I, Cetincelik U, Teti A, Del Fattore A, Luciani M, Sullivan SK, Yan AC, Volpi L, Larizza L: </w:t>
      </w:r>
      <w:r w:rsidRPr="00480AFC">
        <w:rPr>
          <w:rFonts w:ascii="Arial" w:hAnsi="Arial" w:cs="Arial"/>
          <w:b/>
          <w:lang w:val="en-GB"/>
        </w:rPr>
        <w:t xml:space="preserve">Novel C16ORF57 </w:t>
      </w:r>
      <w:r w:rsidRPr="00480AFC">
        <w:rPr>
          <w:rFonts w:ascii="Arial" w:hAnsi="Arial" w:cs="Arial"/>
          <w:b/>
          <w:lang w:val="en-GB"/>
        </w:rPr>
        <w:lastRenderedPageBreak/>
        <w:t xml:space="preserve">mutations in patients with Poikiloderma with neutropenia: bioinformatic analysis of the protein and predicted effects of all reported mutations. </w:t>
      </w:r>
      <w:r w:rsidRPr="00480AFC">
        <w:rPr>
          <w:rFonts w:ascii="Arial" w:hAnsi="Arial" w:cs="Arial"/>
          <w:i/>
          <w:lang w:val="en-GB"/>
        </w:rPr>
        <w:t>Orphanet J Rare Dis</w:t>
      </w:r>
      <w:r w:rsidRPr="00480AFC">
        <w:rPr>
          <w:rFonts w:ascii="Arial" w:hAnsi="Arial" w:cs="Arial"/>
          <w:lang w:val="en-GB"/>
        </w:rPr>
        <w:t xml:space="preserve"> 2012, </w:t>
      </w:r>
      <w:r w:rsidRPr="00480AFC">
        <w:rPr>
          <w:rFonts w:ascii="Arial" w:hAnsi="Arial" w:cs="Arial"/>
          <w:b/>
          <w:lang w:val="en-GB"/>
        </w:rPr>
        <w:t>7</w:t>
      </w:r>
      <w:r w:rsidRPr="00480AFC">
        <w:rPr>
          <w:rFonts w:ascii="Arial" w:hAnsi="Arial" w:cs="Arial"/>
          <w:lang w:val="en-GB"/>
        </w:rPr>
        <w:t>:7.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Passerini L, Di Nunzio S, Gregori S, Gambineri E, Cecconi M, Seidel MG, Cazzola G, Perroni L, Tommasini A, Vignola S, Guidi L, Roncarolo MG, Bacchetta R: </w:t>
      </w:r>
      <w:r w:rsidRPr="00480AFC">
        <w:rPr>
          <w:rFonts w:ascii="Arial" w:hAnsi="Arial" w:cs="Arial"/>
          <w:b/>
          <w:lang w:val="en-GB"/>
        </w:rPr>
        <w:t xml:space="preserve">Functional type 1 regulatory t cells develop regardless of FOXP3 mutations in patients with Ipex syndrome. </w:t>
      </w:r>
      <w:r w:rsidRPr="00480AFC">
        <w:rPr>
          <w:rFonts w:ascii="Arial" w:hAnsi="Arial" w:cs="Arial"/>
          <w:i/>
          <w:lang w:val="en-GB"/>
        </w:rPr>
        <w:t>Eur J Immunol</w:t>
      </w:r>
      <w:r w:rsidRPr="00480AFC">
        <w:rPr>
          <w:rFonts w:ascii="Arial" w:hAnsi="Arial" w:cs="Arial"/>
          <w:lang w:val="en-GB"/>
        </w:rPr>
        <w:t xml:space="preserve"> 2011, </w:t>
      </w:r>
      <w:r w:rsidRPr="00480AFC">
        <w:rPr>
          <w:rFonts w:ascii="Arial" w:hAnsi="Arial" w:cs="Arial"/>
          <w:b/>
          <w:lang w:val="en-GB"/>
        </w:rPr>
        <w:t>41:</w:t>
      </w:r>
      <w:r w:rsidRPr="00480AFC">
        <w:rPr>
          <w:rFonts w:ascii="Arial" w:hAnsi="Arial" w:cs="Arial"/>
          <w:lang w:val="en-GB"/>
        </w:rPr>
        <w:t>1120-1131.</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Madia F, Striano P, Di Bonavebntura C, De falc A, De falco F, Manfredi M, Striano S, Minetti M, Zara F. </w:t>
      </w:r>
      <w:r w:rsidRPr="00480AFC">
        <w:rPr>
          <w:rFonts w:ascii="Arial" w:hAnsi="Arial" w:cs="Arial"/>
          <w:b/>
          <w:lang w:val="en-GB"/>
        </w:rPr>
        <w:t>Bening adult familial myoclonic epilepsy (BAFME): evidence of an extended founder haplotype on chromosome 2p11.1-q12.2 in five italian families.</w:t>
      </w:r>
      <w:r w:rsidRPr="00480AFC">
        <w:rPr>
          <w:rFonts w:ascii="Arial" w:hAnsi="Arial" w:cs="Arial"/>
          <w:lang w:val="en-GB"/>
        </w:rPr>
        <w:t xml:space="preserve"> </w:t>
      </w:r>
      <w:r w:rsidRPr="00480AFC">
        <w:rPr>
          <w:rFonts w:ascii="Arial" w:hAnsi="Arial" w:cs="Arial"/>
          <w:i/>
          <w:lang w:val="en-GB"/>
        </w:rPr>
        <w:t>Neurogenetics</w:t>
      </w:r>
      <w:r w:rsidRPr="00480AFC">
        <w:rPr>
          <w:rFonts w:ascii="Arial" w:hAnsi="Arial" w:cs="Arial"/>
          <w:lang w:val="en-GB"/>
        </w:rPr>
        <w:t xml:space="preserve"> 2008, </w:t>
      </w:r>
      <w:r w:rsidRPr="00480AFC">
        <w:rPr>
          <w:rFonts w:ascii="Arial" w:hAnsi="Arial" w:cs="Arial"/>
          <w:b/>
          <w:lang w:val="en-GB"/>
        </w:rPr>
        <w:t>9:</w:t>
      </w:r>
      <w:r w:rsidRPr="00480AFC">
        <w:rPr>
          <w:rFonts w:ascii="Arial" w:hAnsi="Arial" w:cs="Arial"/>
          <w:lang w:val="en-GB"/>
        </w:rPr>
        <w:t>139-142.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Teodelinda M, Michele C, Sebastiano C, Ranieri C, Chiara G: </w:t>
      </w:r>
      <w:r w:rsidRPr="00480AFC">
        <w:rPr>
          <w:rFonts w:ascii="Arial" w:hAnsi="Arial" w:cs="Arial"/>
          <w:b/>
          <w:lang w:val="en-GB"/>
        </w:rPr>
        <w:t>Amniotic liquid derived stem cells as reservoir of secreted angiogenic factors capable of stimulating neo-arteriogenesis in an ischemic model.</w:t>
      </w:r>
      <w:r w:rsidRPr="00480AFC">
        <w:rPr>
          <w:rFonts w:ascii="Arial" w:hAnsi="Arial" w:cs="Arial"/>
          <w:lang w:val="en-GB"/>
        </w:rPr>
        <w:t xml:space="preserve"> </w:t>
      </w:r>
      <w:r w:rsidRPr="00480AFC">
        <w:rPr>
          <w:rFonts w:ascii="Arial" w:hAnsi="Arial" w:cs="Arial"/>
          <w:i/>
          <w:lang w:val="en-GB"/>
        </w:rPr>
        <w:t>Biomaterials</w:t>
      </w:r>
      <w:r w:rsidRPr="00480AFC">
        <w:rPr>
          <w:rFonts w:ascii="Arial" w:hAnsi="Arial" w:cs="Arial"/>
          <w:lang w:val="en-GB"/>
        </w:rPr>
        <w:t xml:space="preserve"> 2011, </w:t>
      </w:r>
      <w:r w:rsidRPr="00480AFC">
        <w:rPr>
          <w:rFonts w:ascii="Arial" w:hAnsi="Arial" w:cs="Arial"/>
          <w:b/>
          <w:lang w:val="en-GB"/>
        </w:rPr>
        <w:t>32:</w:t>
      </w:r>
      <w:r w:rsidRPr="00480AFC">
        <w:rPr>
          <w:rFonts w:ascii="Arial" w:hAnsi="Arial" w:cs="Arial"/>
          <w:lang w:val="en-GB"/>
        </w:rPr>
        <w:t xml:space="preserve">3689-99. </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Cilia R, Kraff J, Canesi M, Pezzoli G, Goldwurm S, Amiri K, Tang HT, Pan R, Hagerman PJ, Tassone F: </w:t>
      </w:r>
      <w:r w:rsidRPr="00480AFC">
        <w:rPr>
          <w:rFonts w:ascii="Arial" w:hAnsi="Arial" w:cs="Arial"/>
          <w:b/>
          <w:lang w:val="en-GB"/>
        </w:rPr>
        <w:t>Screening for the presence of FMR1 Premutation Alleles in Females with Parkinsonism.</w:t>
      </w:r>
      <w:r w:rsidRPr="00480AFC">
        <w:rPr>
          <w:rFonts w:ascii="Arial" w:hAnsi="Arial" w:cs="Arial"/>
          <w:lang w:val="en-GB"/>
        </w:rPr>
        <w:t xml:space="preserve"> </w:t>
      </w:r>
      <w:r w:rsidRPr="00480AFC">
        <w:rPr>
          <w:rFonts w:ascii="Arial" w:hAnsi="Arial" w:cs="Arial"/>
          <w:i/>
          <w:lang w:val="en-GB"/>
        </w:rPr>
        <w:t>Arch Neurol</w:t>
      </w:r>
      <w:r w:rsidRPr="00480AFC">
        <w:rPr>
          <w:rFonts w:ascii="Arial" w:hAnsi="Arial" w:cs="Arial"/>
          <w:lang w:val="en-GB"/>
        </w:rPr>
        <w:t xml:space="preserve"> 2009, </w:t>
      </w:r>
      <w:r w:rsidRPr="00480AFC">
        <w:rPr>
          <w:rFonts w:ascii="Arial" w:hAnsi="Arial" w:cs="Arial"/>
          <w:b/>
          <w:lang w:val="en-GB"/>
        </w:rPr>
        <w:t>66:</w:t>
      </w:r>
      <w:r w:rsidRPr="00480AFC">
        <w:rPr>
          <w:rFonts w:ascii="Arial" w:hAnsi="Arial" w:cs="Arial"/>
          <w:lang w:val="en-GB"/>
        </w:rPr>
        <w:t>244-249.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Lautier C, Goldwurm S, Dürr A, Giovannone B, Tsiaras WG, Pezzoli G, Brice A, Smith RJ: </w:t>
      </w:r>
      <w:r w:rsidRPr="00480AFC">
        <w:rPr>
          <w:rFonts w:ascii="Arial" w:hAnsi="Arial" w:cs="Arial"/>
          <w:b/>
          <w:lang w:val="en-GB"/>
        </w:rPr>
        <w:t>Mutations in the GIGYF2 Gene at the PARK11 Locus in Familial Parkinson's Disease.</w:t>
      </w:r>
      <w:r w:rsidRPr="00480AFC">
        <w:rPr>
          <w:rFonts w:ascii="Arial" w:hAnsi="Arial" w:cs="Arial"/>
          <w:lang w:val="en-GB"/>
        </w:rPr>
        <w:t xml:space="preserve"> </w:t>
      </w:r>
      <w:r w:rsidRPr="00480AFC">
        <w:rPr>
          <w:rFonts w:ascii="Arial" w:hAnsi="Arial" w:cs="Arial"/>
          <w:i/>
          <w:lang w:val="en-GB"/>
        </w:rPr>
        <w:t xml:space="preserve">Am J Hum Gen </w:t>
      </w:r>
      <w:r w:rsidRPr="00480AFC">
        <w:rPr>
          <w:rFonts w:ascii="Arial" w:hAnsi="Arial" w:cs="Arial"/>
          <w:lang w:val="en-GB"/>
        </w:rPr>
        <w:t xml:space="preserve">2008, </w:t>
      </w:r>
      <w:r w:rsidRPr="00480AFC">
        <w:rPr>
          <w:rFonts w:ascii="Arial" w:hAnsi="Arial" w:cs="Arial"/>
          <w:b/>
          <w:lang w:val="en-GB"/>
        </w:rPr>
        <w:t>82:</w:t>
      </w:r>
      <w:r w:rsidRPr="00480AFC">
        <w:rPr>
          <w:rFonts w:ascii="Arial" w:hAnsi="Arial" w:cs="Arial"/>
          <w:lang w:val="en-GB"/>
        </w:rPr>
        <w:t>822-833.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Cartelli D, Goldwurm S, Casagrande F, Pezzoli G, Cappelletti G</w:t>
      </w:r>
      <w:r w:rsidRPr="00480AFC">
        <w:rPr>
          <w:rFonts w:ascii="Arial" w:hAnsi="Arial" w:cs="Arial"/>
          <w:b/>
          <w:lang w:val="en-GB"/>
        </w:rPr>
        <w:t>: Microtubule destabilization is shared by genetic and idiopathic Parkinson's disease patient fibroblasts.</w:t>
      </w:r>
      <w:r w:rsidRPr="00480AFC">
        <w:rPr>
          <w:rFonts w:ascii="Arial" w:hAnsi="Arial" w:cs="Arial"/>
          <w:lang w:val="en-GB"/>
        </w:rPr>
        <w:t xml:space="preserve"> </w:t>
      </w:r>
      <w:r w:rsidRPr="00480AFC">
        <w:rPr>
          <w:rFonts w:ascii="Arial" w:hAnsi="Arial" w:cs="Arial"/>
          <w:i/>
          <w:lang w:val="en-GB"/>
        </w:rPr>
        <w:t>PLoS One</w:t>
      </w:r>
      <w:r w:rsidRPr="00480AFC">
        <w:rPr>
          <w:rFonts w:ascii="Arial" w:hAnsi="Arial" w:cs="Arial"/>
          <w:lang w:val="en-GB"/>
        </w:rPr>
        <w:t xml:space="preserve"> 2012, </w:t>
      </w:r>
      <w:r w:rsidRPr="00480AFC">
        <w:rPr>
          <w:rFonts w:ascii="Arial" w:hAnsi="Arial" w:cs="Arial"/>
          <w:b/>
          <w:lang w:val="en-GB"/>
        </w:rPr>
        <w:t>7:</w:t>
      </w:r>
      <w:r w:rsidRPr="00480AFC">
        <w:rPr>
          <w:rFonts w:ascii="Arial" w:hAnsi="Arial" w:cs="Arial"/>
          <w:lang w:val="en-GB"/>
        </w:rPr>
        <w:t xml:space="preserve">e37467. Erratum in: </w:t>
      </w:r>
      <w:r w:rsidRPr="00480AFC">
        <w:rPr>
          <w:rFonts w:ascii="Arial" w:hAnsi="Arial" w:cs="Arial"/>
          <w:i/>
          <w:lang w:val="en-GB"/>
        </w:rPr>
        <w:t>PLoS One</w:t>
      </w:r>
      <w:r w:rsidRPr="00480AFC">
        <w:rPr>
          <w:rFonts w:ascii="Arial" w:hAnsi="Arial" w:cs="Arial"/>
          <w:lang w:val="en-GB"/>
        </w:rPr>
        <w:t xml:space="preserve"> 2012, </w:t>
      </w:r>
      <w:r w:rsidRPr="00480AFC">
        <w:rPr>
          <w:rFonts w:ascii="Arial" w:hAnsi="Arial" w:cs="Arial"/>
          <w:b/>
          <w:lang w:val="en-GB"/>
        </w:rPr>
        <w:t>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Healy DG, Falchi M, O'Sullivan SS, Bonifati V, Durr A, Bressman S, Brice A, Aasly J, Zabetian CP, Goldwurm S, Ferreira JJ, Tolosa E, Kay DM, Klein C, Williams DR, Marras C, Lang AE, Wszolek ZK, Berciano J, Schapira AH, Lynch T, Bhatia KP, Gasser T, Lees AJ, Wood NW; on behalf of the International LRRK2 Consortium: </w:t>
      </w:r>
      <w:r w:rsidRPr="00480AFC">
        <w:rPr>
          <w:rFonts w:ascii="Arial" w:hAnsi="Arial" w:cs="Arial"/>
          <w:b/>
          <w:lang w:val="en-GB"/>
        </w:rPr>
        <w:t>Phenotype, genotype, and worldwide genetic penetrance of LRRK2-associated Parkinson's disease: a case-control study.</w:t>
      </w:r>
      <w:r w:rsidRPr="00480AFC">
        <w:rPr>
          <w:rFonts w:ascii="Arial" w:hAnsi="Arial" w:cs="Arial"/>
          <w:lang w:val="en-GB"/>
        </w:rPr>
        <w:t xml:space="preserve"> </w:t>
      </w:r>
      <w:r w:rsidRPr="00480AFC">
        <w:rPr>
          <w:rFonts w:ascii="Arial" w:hAnsi="Arial" w:cs="Arial"/>
          <w:i/>
          <w:lang w:val="en-GB"/>
        </w:rPr>
        <w:t>Lancet Neurol</w:t>
      </w:r>
      <w:r w:rsidRPr="00480AFC">
        <w:rPr>
          <w:rFonts w:ascii="Arial" w:hAnsi="Arial" w:cs="Arial"/>
          <w:lang w:val="en-GB"/>
        </w:rPr>
        <w:t xml:space="preserve"> 2008, </w:t>
      </w:r>
      <w:r w:rsidRPr="00480AFC">
        <w:rPr>
          <w:rFonts w:ascii="Arial" w:hAnsi="Arial" w:cs="Arial"/>
          <w:b/>
          <w:lang w:val="en-GB"/>
        </w:rPr>
        <w:t>7:</w:t>
      </w:r>
      <w:r w:rsidRPr="00480AFC">
        <w:rPr>
          <w:rFonts w:ascii="Arial" w:hAnsi="Arial" w:cs="Arial"/>
          <w:lang w:val="en-GB"/>
        </w:rPr>
        <w:t>583-590.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Höglinger GU, Melhem NM, Dickson DW, Sleiman PM, Wang LS, Klei L, Rademakers R, de Silva R, Litvan I, Riley DE, van Swieten JC, Heutink P, Wszolek ZK, Uitti RJ, Vandrovcova J, Hurtig HI, Gross RG, Maetzler W, Goldwurm S, Tolosa E, Borroni B, Pastor P; PSP Genetics Study Group, Cantwell LB, Han MR, Dillman A, van der Brug MP, Gibbs JR, Cookson MR, Hernandez DG, et al.: </w:t>
      </w:r>
      <w:r w:rsidRPr="00480AFC">
        <w:rPr>
          <w:rFonts w:ascii="Arial" w:hAnsi="Arial" w:cs="Arial"/>
          <w:b/>
          <w:lang w:val="en-GB"/>
        </w:rPr>
        <w:t>Identification of common variants influencing risk of the tauopathy progressive supranuclear palsy.</w:t>
      </w:r>
      <w:r w:rsidRPr="00480AFC">
        <w:rPr>
          <w:rFonts w:ascii="Arial" w:hAnsi="Arial" w:cs="Arial"/>
          <w:lang w:val="en-GB"/>
        </w:rPr>
        <w:t xml:space="preserve"> </w:t>
      </w:r>
      <w:r w:rsidRPr="00480AFC">
        <w:rPr>
          <w:rFonts w:ascii="Arial" w:hAnsi="Arial" w:cs="Arial"/>
          <w:i/>
          <w:lang w:val="en-GB"/>
        </w:rPr>
        <w:t>Nat Genet</w:t>
      </w:r>
      <w:r w:rsidRPr="00480AFC">
        <w:rPr>
          <w:rFonts w:ascii="Arial" w:hAnsi="Arial" w:cs="Arial"/>
          <w:lang w:val="en-GB"/>
        </w:rPr>
        <w:t xml:space="preserve"> 2011, </w:t>
      </w:r>
      <w:r w:rsidRPr="00480AFC">
        <w:rPr>
          <w:rFonts w:ascii="Arial" w:hAnsi="Arial" w:cs="Arial"/>
          <w:b/>
          <w:lang w:val="en-GB"/>
        </w:rPr>
        <w:t>43:</w:t>
      </w:r>
      <w:r w:rsidRPr="00480AFC">
        <w:rPr>
          <w:rFonts w:ascii="Arial" w:hAnsi="Arial" w:cs="Arial"/>
          <w:lang w:val="en-GB"/>
        </w:rPr>
        <w:t>699-705.</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Liu GH, Qu J, Suzuki K, Nivet E, Li M, Montserrat N, Yi F, Xu X, Ruiz S, Zhang W, Wagner U, Kim A, Ren B, LiY, Goebl A, Kim J, Soligalla RD, Dubova I, Thompson J, Yates J 3rd, Esteban CR, Sancho-Martinez I, Izpisua Belmonte JC: </w:t>
      </w:r>
      <w:r w:rsidRPr="00480AFC">
        <w:rPr>
          <w:rFonts w:ascii="Arial" w:hAnsi="Arial" w:cs="Arial"/>
          <w:b/>
          <w:lang w:val="en-GB"/>
        </w:rPr>
        <w:t>Progressive degeneration of human neural stem cells caused by pathogenic LRRK2.</w:t>
      </w:r>
      <w:r w:rsidRPr="00480AFC">
        <w:rPr>
          <w:rFonts w:ascii="Arial" w:hAnsi="Arial" w:cs="Arial"/>
          <w:lang w:val="en-GB"/>
        </w:rPr>
        <w:t xml:space="preserve"> </w:t>
      </w:r>
      <w:r w:rsidRPr="00480AFC">
        <w:rPr>
          <w:rFonts w:ascii="Arial" w:hAnsi="Arial" w:cs="Arial"/>
          <w:i/>
          <w:lang w:val="en-GB"/>
        </w:rPr>
        <w:t>Nature</w:t>
      </w:r>
      <w:r w:rsidRPr="00480AFC">
        <w:rPr>
          <w:rFonts w:ascii="Arial" w:hAnsi="Arial" w:cs="Arial"/>
          <w:lang w:val="en-GB"/>
        </w:rPr>
        <w:t xml:space="preserve"> 2012, </w:t>
      </w:r>
      <w:r w:rsidRPr="00480AFC">
        <w:rPr>
          <w:rFonts w:ascii="Arial" w:hAnsi="Arial" w:cs="Arial"/>
          <w:b/>
          <w:lang w:val="en-GB"/>
        </w:rPr>
        <w:t>491:</w:t>
      </w:r>
      <w:r w:rsidRPr="00480AFC">
        <w:rPr>
          <w:rFonts w:ascii="Arial" w:hAnsi="Arial" w:cs="Arial"/>
          <w:lang w:val="en-GB"/>
        </w:rPr>
        <w:t>603-607.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Ariani F, Mari F, Amitrano S, Di Marco C, Artuso R, Scala E, Meloni I, Della Volpe R, Rossi A, van Bokhoven H, Renieri A: </w:t>
      </w:r>
      <w:r w:rsidRPr="00480AFC">
        <w:rPr>
          <w:rFonts w:ascii="Arial" w:hAnsi="Arial" w:cs="Arial"/>
          <w:b/>
          <w:lang w:val="en-GB"/>
        </w:rPr>
        <w:t>Exome sequencing overrides formal genetics: ASPM mutations in a case study of apparent X-linked microcephalic intellectual deficit.</w:t>
      </w:r>
      <w:r w:rsidRPr="00480AFC">
        <w:rPr>
          <w:rFonts w:ascii="Arial" w:hAnsi="Arial" w:cs="Arial"/>
          <w:lang w:val="en-GB"/>
        </w:rPr>
        <w:t xml:space="preserve"> </w:t>
      </w:r>
      <w:r w:rsidRPr="00480AFC">
        <w:rPr>
          <w:rFonts w:ascii="Arial" w:hAnsi="Arial" w:cs="Arial"/>
          <w:i/>
          <w:lang w:val="en-GB"/>
        </w:rPr>
        <w:t>Clin Genet</w:t>
      </w:r>
      <w:r w:rsidRPr="00480AFC">
        <w:rPr>
          <w:rFonts w:ascii="Arial" w:hAnsi="Arial" w:cs="Arial"/>
          <w:lang w:val="en-GB"/>
        </w:rPr>
        <w:t xml:space="preserve"> 2013, </w:t>
      </w:r>
      <w:r w:rsidRPr="00480AFC">
        <w:rPr>
          <w:rFonts w:ascii="Arial" w:hAnsi="Arial" w:cs="Arial"/>
          <w:b/>
          <w:lang w:val="en-GB"/>
        </w:rPr>
        <w:t>83:</w:t>
      </w:r>
      <w:r w:rsidRPr="00480AFC">
        <w:rPr>
          <w:rFonts w:ascii="Arial" w:hAnsi="Arial" w:cs="Arial"/>
          <w:lang w:val="en-GB"/>
        </w:rPr>
        <w:t>288-290.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Ariani F, Hayek G, Rondinella D, Artuso R, Mencarelli MA, Spanhol-Rosseto A, Pollazzon M, Buoni S, Spiga O, Ricciardi S, Meloni I, Longo I, Mari F, Broccoli V, Zappella M, Renieri A: </w:t>
      </w:r>
      <w:r w:rsidRPr="00480AFC">
        <w:rPr>
          <w:rFonts w:ascii="Arial" w:hAnsi="Arial" w:cs="Arial"/>
          <w:b/>
        </w:rPr>
        <w:t>FOXG1 is responsible for the congenital variant of Rett syndrome.</w:t>
      </w:r>
      <w:r w:rsidRPr="00480AFC">
        <w:rPr>
          <w:rFonts w:ascii="Arial" w:hAnsi="Arial" w:cs="Arial"/>
        </w:rPr>
        <w:t xml:space="preserve"> </w:t>
      </w:r>
      <w:r w:rsidRPr="00480AFC">
        <w:rPr>
          <w:rFonts w:ascii="Arial" w:hAnsi="Arial" w:cs="Arial"/>
          <w:i/>
          <w:lang w:val="en-GB"/>
        </w:rPr>
        <w:t xml:space="preserve">Am J Hum Genet </w:t>
      </w:r>
      <w:r w:rsidRPr="00480AFC">
        <w:rPr>
          <w:rFonts w:ascii="Arial" w:hAnsi="Arial" w:cs="Arial"/>
          <w:lang w:val="en-GB"/>
        </w:rPr>
        <w:t xml:space="preserve">2008, </w:t>
      </w:r>
      <w:r w:rsidRPr="00480AFC">
        <w:rPr>
          <w:rFonts w:ascii="Arial" w:hAnsi="Arial" w:cs="Arial"/>
          <w:b/>
          <w:lang w:val="en-GB"/>
        </w:rPr>
        <w:t>83:</w:t>
      </w:r>
      <w:r w:rsidRPr="00480AFC">
        <w:rPr>
          <w:rFonts w:ascii="Arial" w:hAnsi="Arial" w:cs="Arial"/>
          <w:lang w:val="en-GB"/>
        </w:rPr>
        <w:t>89-93</w:t>
      </w:r>
      <w:r w:rsidR="00A23D9D">
        <w:rPr>
          <w:rFonts w:ascii="Arial" w:hAnsi="Arial" w:cs="Arial"/>
          <w:lang w:val="en-GB"/>
        </w:rPr>
        <w:t>.</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Makrythanasis P, Kapranov P, Bartoloni L, Reymond A, Deutsch S, Guigó R, Denoeud F, Drenkow J, Rossier C, Ariani F, Capra V, Excoffier L, Renieri A, Gingeras TR, Antonarakis SE: </w:t>
      </w:r>
      <w:r w:rsidRPr="00480AFC">
        <w:rPr>
          <w:rFonts w:ascii="Arial" w:hAnsi="Arial" w:cs="Arial"/>
          <w:b/>
          <w:lang w:val="en-GB"/>
        </w:rPr>
        <w:lastRenderedPageBreak/>
        <w:t>Variation in novel exons (RACEfrags) of the MECP2 gene in Rett syndrome patients and controls.</w:t>
      </w:r>
      <w:r w:rsidRPr="00480AFC">
        <w:rPr>
          <w:rFonts w:ascii="Arial" w:hAnsi="Arial" w:cs="Arial"/>
          <w:lang w:val="en-GB"/>
        </w:rPr>
        <w:t xml:space="preserve"> </w:t>
      </w:r>
      <w:r w:rsidRPr="00480AFC">
        <w:rPr>
          <w:rFonts w:ascii="Arial" w:hAnsi="Arial" w:cs="Arial"/>
          <w:i/>
          <w:lang w:val="en-GB"/>
        </w:rPr>
        <w:t>Hum Mutat</w:t>
      </w:r>
      <w:r w:rsidRPr="00480AFC">
        <w:rPr>
          <w:rFonts w:ascii="Arial" w:hAnsi="Arial" w:cs="Arial"/>
          <w:lang w:val="en-GB"/>
        </w:rPr>
        <w:t xml:space="preserve"> 2009, </w:t>
      </w:r>
      <w:r w:rsidRPr="00480AFC">
        <w:rPr>
          <w:rFonts w:ascii="Arial" w:hAnsi="Arial" w:cs="Arial"/>
          <w:b/>
          <w:lang w:val="en-GB"/>
        </w:rPr>
        <w:t>30:</w:t>
      </w:r>
      <w:r w:rsidRPr="00480AFC">
        <w:rPr>
          <w:rFonts w:ascii="Arial" w:hAnsi="Arial" w:cs="Arial"/>
          <w:lang w:val="en-GB"/>
        </w:rPr>
        <w:t>E866-E879.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Mencarelli MA, Tassini M, Pollazzon M, Vivi A, Calderisi M, Falco M, Fichera M, Monti L, Buoni S, Mari F, Engelke U, Wevers RA, Hayek J and Renieri A: </w:t>
      </w:r>
      <w:r w:rsidRPr="00480AFC">
        <w:rPr>
          <w:rFonts w:ascii="Arial" w:hAnsi="Arial" w:cs="Arial"/>
          <w:b/>
          <w:lang w:val="en-GB"/>
        </w:rPr>
        <w:t xml:space="preserve">Creatine Transporter Defect Diagnosed by ProtonNMR Spectroscopy in Males With Intellectual Disability. </w:t>
      </w:r>
      <w:r w:rsidRPr="00480AFC">
        <w:rPr>
          <w:rFonts w:ascii="Arial" w:hAnsi="Arial" w:cs="Arial"/>
          <w:i/>
          <w:lang w:val="en-GB"/>
        </w:rPr>
        <w:t>Am J Med Genet A</w:t>
      </w:r>
      <w:r w:rsidRPr="00480AFC">
        <w:rPr>
          <w:rFonts w:ascii="Arial" w:hAnsi="Arial" w:cs="Arial"/>
          <w:lang w:val="en-GB"/>
        </w:rPr>
        <w:t xml:space="preserve"> 2011, </w:t>
      </w:r>
      <w:r w:rsidRPr="00480AFC">
        <w:rPr>
          <w:rFonts w:ascii="Arial" w:hAnsi="Arial" w:cs="Arial"/>
          <w:b/>
          <w:lang w:val="en-GB"/>
        </w:rPr>
        <w:t>155A:</w:t>
      </w:r>
      <w:r w:rsidRPr="00480AFC">
        <w:rPr>
          <w:rFonts w:ascii="Arial" w:hAnsi="Arial" w:cs="Arial"/>
          <w:lang w:val="en-GB"/>
        </w:rPr>
        <w:t>2446-2452.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De Filippis R, Pancrazi L, Bjørgo K, Rosseto A, Kleefstra T, Grillo E, Panighini A, Cardarelli F, Meloni I, Ariani F, Mencarelli MA, Hayek J, Renieri A, Costa M, Mari F: </w:t>
      </w:r>
      <w:r w:rsidRPr="00480AFC">
        <w:rPr>
          <w:rFonts w:ascii="Arial" w:hAnsi="Arial" w:cs="Arial"/>
          <w:b/>
          <w:lang w:val="en-GB"/>
        </w:rPr>
        <w:t>Expanding the phenotype associated with FOXG1 mutations and in vivo FoxG1 chromatin-binding dynamics.</w:t>
      </w:r>
      <w:r w:rsidRPr="00480AFC">
        <w:rPr>
          <w:rFonts w:ascii="Arial" w:hAnsi="Arial" w:cs="Arial"/>
          <w:lang w:val="en-GB"/>
        </w:rPr>
        <w:t xml:space="preserve"> </w:t>
      </w:r>
      <w:r w:rsidRPr="00480AFC">
        <w:rPr>
          <w:rFonts w:ascii="Arial" w:hAnsi="Arial" w:cs="Arial"/>
          <w:i/>
          <w:lang w:val="en-GB"/>
        </w:rPr>
        <w:t xml:space="preserve">Clin Genet </w:t>
      </w:r>
      <w:r w:rsidRPr="00480AFC">
        <w:rPr>
          <w:rFonts w:ascii="Arial" w:hAnsi="Arial" w:cs="Arial"/>
          <w:lang w:val="en-GB"/>
        </w:rPr>
        <w:t xml:space="preserve">2012, </w:t>
      </w:r>
      <w:r w:rsidRPr="00480AFC">
        <w:rPr>
          <w:rFonts w:ascii="Arial" w:hAnsi="Arial" w:cs="Arial"/>
          <w:b/>
          <w:lang w:val="en-GB"/>
        </w:rPr>
        <w:t>82:</w:t>
      </w:r>
      <w:r w:rsidRPr="00480AFC">
        <w:rPr>
          <w:rFonts w:ascii="Arial" w:hAnsi="Arial" w:cs="Arial"/>
          <w:lang w:val="en-GB"/>
        </w:rPr>
        <w:t>395-403.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Bijlsma EK, Collins A, Papa FT, Tejada MI, Wheeler P, Peeters EA, Gijsbers AC, van de Kamp JM, Kriek M, Losekoot M, Broekma AJ, Crolla JA, Pollazzon M, Mucciolo M, Katzaki E, Disciglio V, Ferreri MI, Marozza A, Mencarelli MA, Castagnini C, Dosa L, Ariani F, Mari F, Canitano R, Hayek G, Botella MP, Gener B, Mínguez M, Renieri A, Ruivenkamp CA: </w:t>
      </w:r>
      <w:r w:rsidRPr="00480AFC">
        <w:rPr>
          <w:rFonts w:ascii="Arial" w:hAnsi="Arial" w:cs="Arial"/>
          <w:b/>
          <w:lang w:val="en-GB"/>
        </w:rPr>
        <w:t>Xq28 duplications including MECP2 in five females: Expanding the phenotype to severe mental retardation.</w:t>
      </w:r>
      <w:r w:rsidRPr="00480AFC">
        <w:rPr>
          <w:rFonts w:ascii="Arial" w:hAnsi="Arial" w:cs="Arial"/>
          <w:lang w:val="en-GB"/>
        </w:rPr>
        <w:t xml:space="preserve"> </w:t>
      </w:r>
      <w:r w:rsidRPr="00480AFC">
        <w:rPr>
          <w:rFonts w:ascii="Arial" w:hAnsi="Arial" w:cs="Arial"/>
          <w:i/>
          <w:lang w:val="en-GB"/>
        </w:rPr>
        <w:t>Eur J Med Genet</w:t>
      </w:r>
      <w:r w:rsidRPr="00480AFC">
        <w:rPr>
          <w:rFonts w:ascii="Arial" w:hAnsi="Arial" w:cs="Arial"/>
          <w:lang w:val="en-GB"/>
        </w:rPr>
        <w:t xml:space="preserve"> 2012, </w:t>
      </w:r>
      <w:r w:rsidRPr="00480AFC">
        <w:rPr>
          <w:rFonts w:ascii="Arial" w:hAnsi="Arial" w:cs="Arial"/>
          <w:b/>
          <w:lang w:val="en-GB"/>
        </w:rPr>
        <w:t>55:</w:t>
      </w:r>
      <w:r w:rsidRPr="00480AFC">
        <w:rPr>
          <w:rFonts w:ascii="Arial" w:hAnsi="Arial" w:cs="Arial"/>
          <w:lang w:val="en-GB"/>
        </w:rPr>
        <w:t>404-413.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Amenduni M, De Filippis R, Cheung AY, Disciglio V, Epistolato MC, Ariani F, Mari F, Mencarelli MA, Hayek Y, Renieri A, Ellis J, Meloni I: </w:t>
      </w:r>
      <w:r w:rsidRPr="00480AFC">
        <w:rPr>
          <w:rFonts w:ascii="Arial" w:hAnsi="Arial" w:cs="Arial"/>
          <w:b/>
        </w:rPr>
        <w:t>iPS cells to model CDKL5-related disorders.</w:t>
      </w:r>
      <w:r w:rsidRPr="00480AFC">
        <w:rPr>
          <w:rFonts w:ascii="Arial" w:hAnsi="Arial" w:cs="Arial"/>
        </w:rPr>
        <w:t xml:space="preserve"> </w:t>
      </w:r>
      <w:r w:rsidRPr="00480AFC">
        <w:rPr>
          <w:rFonts w:ascii="Arial" w:hAnsi="Arial" w:cs="Arial"/>
          <w:i/>
          <w:lang w:val="en-GB"/>
        </w:rPr>
        <w:t xml:space="preserve">Eur J Hum Genet </w:t>
      </w:r>
      <w:r w:rsidRPr="00480AFC">
        <w:rPr>
          <w:rFonts w:ascii="Arial" w:hAnsi="Arial" w:cs="Arial"/>
          <w:lang w:val="en-GB"/>
        </w:rPr>
        <w:t xml:space="preserve">2011, </w:t>
      </w:r>
      <w:r w:rsidRPr="00480AFC">
        <w:rPr>
          <w:rFonts w:ascii="Arial" w:hAnsi="Arial" w:cs="Arial"/>
          <w:b/>
          <w:lang w:val="en-GB"/>
        </w:rPr>
        <w:t>19):</w:t>
      </w:r>
      <w:r w:rsidRPr="00480AFC">
        <w:rPr>
          <w:rFonts w:ascii="Arial" w:hAnsi="Arial" w:cs="Arial"/>
          <w:lang w:val="en-GB"/>
        </w:rPr>
        <w:t>1246-1255.</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Fanin M, Nascimbeni AC, Aurino S, Tasca E, Pegoraro E, Nigro V, Angelini C: </w:t>
      </w:r>
      <w:r w:rsidRPr="00480AFC">
        <w:rPr>
          <w:rFonts w:ascii="Arial" w:hAnsi="Arial" w:cs="Arial"/>
          <w:b/>
          <w:lang w:val="en-GB"/>
        </w:rPr>
        <w:t>Frequency of LGMD gene mutations in Italian patients with distinct clinical phenotypes.</w:t>
      </w:r>
      <w:r w:rsidRPr="00480AFC">
        <w:rPr>
          <w:rFonts w:ascii="Arial" w:hAnsi="Arial" w:cs="Arial"/>
          <w:lang w:val="en-GB"/>
        </w:rPr>
        <w:t xml:space="preserve"> </w:t>
      </w:r>
      <w:r w:rsidRPr="00480AFC">
        <w:rPr>
          <w:rFonts w:ascii="Arial" w:hAnsi="Arial" w:cs="Arial"/>
          <w:i/>
          <w:lang w:val="en-GB"/>
        </w:rPr>
        <w:t>Neurology</w:t>
      </w:r>
      <w:r w:rsidRPr="00480AFC">
        <w:rPr>
          <w:rFonts w:ascii="Arial" w:hAnsi="Arial" w:cs="Arial"/>
          <w:lang w:val="en-GB"/>
        </w:rPr>
        <w:t xml:space="preserve"> 2009, </w:t>
      </w:r>
      <w:r w:rsidRPr="00480AFC">
        <w:rPr>
          <w:rFonts w:ascii="Arial" w:hAnsi="Arial" w:cs="Arial"/>
          <w:b/>
          <w:lang w:val="en-GB"/>
        </w:rPr>
        <w:t>72:</w:t>
      </w:r>
      <w:r w:rsidRPr="00480AFC">
        <w:rPr>
          <w:rFonts w:ascii="Arial" w:hAnsi="Arial" w:cs="Arial"/>
          <w:lang w:val="en-GB"/>
        </w:rPr>
        <w:t>1432-1435.</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Torella A, Fanin M, Mutarelli M, Peterle E, Del Vecchio Blanco F, Rispoli R, Savarese M, Garofalo A, Piluso G, Morandi L, Ricci G, Siciliano G, Angelini C, Nigro V: </w:t>
      </w:r>
      <w:r w:rsidRPr="00480AFC">
        <w:rPr>
          <w:rFonts w:ascii="Arial" w:hAnsi="Arial" w:cs="Arial"/>
          <w:b/>
        </w:rPr>
        <w:t>Next-Generation Sequencing Identifies Transportin 3 as the Causative Gene for LGMD1F.</w:t>
      </w:r>
      <w:r w:rsidRPr="00480AFC">
        <w:rPr>
          <w:rFonts w:ascii="Arial" w:hAnsi="Arial" w:cs="Arial"/>
        </w:rPr>
        <w:t xml:space="preserve"> </w:t>
      </w:r>
      <w:r w:rsidRPr="00480AFC">
        <w:rPr>
          <w:rFonts w:ascii="Arial" w:hAnsi="Arial" w:cs="Arial"/>
          <w:i/>
          <w:lang w:val="en-GB"/>
        </w:rPr>
        <w:t>PLoS One</w:t>
      </w:r>
      <w:r w:rsidRPr="00480AFC">
        <w:rPr>
          <w:rFonts w:ascii="Arial" w:hAnsi="Arial" w:cs="Arial"/>
          <w:lang w:val="en-GB"/>
        </w:rPr>
        <w:t xml:space="preserve"> 2013, </w:t>
      </w:r>
      <w:r w:rsidRPr="00480AFC">
        <w:rPr>
          <w:rFonts w:ascii="Arial" w:hAnsi="Arial" w:cs="Arial"/>
          <w:b/>
          <w:lang w:val="en-GB"/>
        </w:rPr>
        <w:t>8:</w:t>
      </w:r>
      <w:r w:rsidRPr="00480AFC">
        <w:rPr>
          <w:rFonts w:ascii="Arial" w:hAnsi="Arial" w:cs="Arial"/>
          <w:lang w:val="en-GB"/>
        </w:rPr>
        <w:t>e63536.</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Nascimbeni AC, Fanin M, Masiero E, Angelini C, Sandri M: </w:t>
      </w:r>
      <w:r w:rsidRPr="00480AFC">
        <w:rPr>
          <w:rFonts w:ascii="Arial" w:hAnsi="Arial" w:cs="Arial"/>
          <w:b/>
          <w:lang w:val="en-GB"/>
        </w:rPr>
        <w:t>The role of autophagy in the pathogenesis of glycogen storage disease type II (GSDII).</w:t>
      </w:r>
      <w:r w:rsidRPr="00480AFC">
        <w:rPr>
          <w:rFonts w:ascii="Arial" w:hAnsi="Arial" w:cs="Arial"/>
          <w:lang w:val="en-GB"/>
        </w:rPr>
        <w:t xml:space="preserve"> </w:t>
      </w:r>
      <w:r w:rsidRPr="00480AFC">
        <w:rPr>
          <w:rFonts w:ascii="Arial" w:hAnsi="Arial" w:cs="Arial"/>
          <w:i/>
          <w:lang w:val="en-GB"/>
        </w:rPr>
        <w:t>Cell Death Differ</w:t>
      </w:r>
      <w:r w:rsidRPr="00480AFC">
        <w:rPr>
          <w:rFonts w:ascii="Arial" w:hAnsi="Arial" w:cs="Arial"/>
          <w:lang w:val="en-GB"/>
        </w:rPr>
        <w:t xml:space="preserve"> 2012, </w:t>
      </w:r>
      <w:r w:rsidRPr="00480AFC">
        <w:rPr>
          <w:rFonts w:ascii="Arial" w:hAnsi="Arial" w:cs="Arial"/>
          <w:b/>
          <w:lang w:val="en-GB"/>
        </w:rPr>
        <w:t>19:</w:t>
      </w:r>
      <w:r w:rsidRPr="00480AFC">
        <w:rPr>
          <w:rFonts w:ascii="Arial" w:hAnsi="Arial" w:cs="Arial"/>
          <w:lang w:val="en-GB"/>
        </w:rPr>
        <w:t>1698-1708.</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Spinazzi M, Casarin A, Pertegato V, Ermani M, Salviati L, Angelini C: </w:t>
      </w:r>
      <w:r w:rsidRPr="00480AFC">
        <w:rPr>
          <w:rFonts w:ascii="Arial" w:hAnsi="Arial" w:cs="Arial"/>
          <w:b/>
          <w:lang w:val="en-GB"/>
        </w:rPr>
        <w:t>Optimization of respiratory chain enzymatic assays in muscle for the diagnosis of mitochondrial disorders.</w:t>
      </w:r>
      <w:r w:rsidRPr="00480AFC">
        <w:rPr>
          <w:rFonts w:ascii="Arial" w:hAnsi="Arial" w:cs="Arial"/>
          <w:lang w:val="en-GB"/>
        </w:rPr>
        <w:t xml:space="preserve"> </w:t>
      </w:r>
      <w:r w:rsidRPr="00480AFC">
        <w:rPr>
          <w:rFonts w:ascii="Arial" w:hAnsi="Arial" w:cs="Arial"/>
          <w:i/>
          <w:lang w:val="en-GB"/>
        </w:rPr>
        <w:t>Mitochondrion</w:t>
      </w:r>
      <w:r w:rsidRPr="00480AFC">
        <w:rPr>
          <w:rFonts w:ascii="Arial" w:hAnsi="Arial" w:cs="Arial"/>
          <w:lang w:val="en-GB"/>
        </w:rPr>
        <w:t xml:space="preserve"> 2011, </w:t>
      </w:r>
      <w:r w:rsidRPr="00480AFC">
        <w:rPr>
          <w:rFonts w:ascii="Arial" w:hAnsi="Arial" w:cs="Arial"/>
          <w:b/>
          <w:lang w:val="en-GB"/>
        </w:rPr>
        <w:t>11:</w:t>
      </w:r>
      <w:r w:rsidRPr="00480AFC">
        <w:rPr>
          <w:rFonts w:ascii="Arial" w:hAnsi="Arial" w:cs="Arial"/>
          <w:lang w:val="en-GB"/>
        </w:rPr>
        <w:t>893-904</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Nascimbeni AC, Fanin M, Tasca E, Angelini C: </w:t>
      </w:r>
      <w:r w:rsidRPr="00480AFC">
        <w:rPr>
          <w:rFonts w:ascii="Arial" w:hAnsi="Arial" w:cs="Arial"/>
          <w:b/>
          <w:lang w:val="en-GB"/>
        </w:rPr>
        <w:t>Transcriptional and translational effects of intronic CAPN3 gene mutations.</w:t>
      </w:r>
      <w:r w:rsidRPr="00480AFC">
        <w:rPr>
          <w:rFonts w:ascii="Arial" w:hAnsi="Arial" w:cs="Arial"/>
          <w:lang w:val="en-GB"/>
        </w:rPr>
        <w:t xml:space="preserve"> </w:t>
      </w:r>
      <w:r w:rsidRPr="00480AFC">
        <w:rPr>
          <w:rFonts w:ascii="Arial" w:hAnsi="Arial" w:cs="Arial"/>
          <w:i/>
          <w:lang w:val="en-GB"/>
        </w:rPr>
        <w:t>Hum Mutat</w:t>
      </w:r>
      <w:r w:rsidRPr="00480AFC">
        <w:rPr>
          <w:rFonts w:ascii="Arial" w:hAnsi="Arial" w:cs="Arial"/>
          <w:lang w:val="en-GB"/>
        </w:rPr>
        <w:t xml:space="preserve"> 2010, </w:t>
      </w:r>
      <w:r w:rsidRPr="00480AFC">
        <w:rPr>
          <w:rFonts w:ascii="Arial" w:hAnsi="Arial" w:cs="Arial"/>
          <w:b/>
          <w:lang w:val="en-GB"/>
        </w:rPr>
        <w:t>31:</w:t>
      </w:r>
      <w:r w:rsidRPr="00480AFC">
        <w:rPr>
          <w:rFonts w:ascii="Arial" w:hAnsi="Arial" w:cs="Arial"/>
          <w:lang w:val="en-GB"/>
        </w:rPr>
        <w:t xml:space="preserve">E1658-1669. </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Angelini C, Semplicini C, Ravaglia S, Moggio M, Comi GP, Musumeci O, Pegoraro E, Tonin P, Filosto M, Servidei S, Morandi L, Crescimanno G, Marrosu G, Siciliano G, Mongini T, Toscano A, Italian Group on GSDII: </w:t>
      </w:r>
      <w:r w:rsidRPr="00480AFC">
        <w:rPr>
          <w:rFonts w:ascii="Arial" w:hAnsi="Arial" w:cs="Arial"/>
          <w:b/>
          <w:lang w:val="en-GB"/>
        </w:rPr>
        <w:t>New motor outcome function measures in evaluation of late-onset Pompe disease before and after enzyme replacement therapy.</w:t>
      </w:r>
      <w:r w:rsidRPr="00480AFC">
        <w:rPr>
          <w:rFonts w:ascii="Arial" w:hAnsi="Arial" w:cs="Arial"/>
          <w:lang w:val="en-GB"/>
        </w:rPr>
        <w:t xml:space="preserve"> </w:t>
      </w:r>
      <w:r w:rsidRPr="00480AFC">
        <w:rPr>
          <w:rFonts w:ascii="Arial" w:hAnsi="Arial" w:cs="Arial"/>
          <w:i/>
          <w:lang w:val="en-GB"/>
        </w:rPr>
        <w:t>Muscle Nerve</w:t>
      </w:r>
      <w:r w:rsidRPr="00480AFC">
        <w:rPr>
          <w:rFonts w:ascii="Arial" w:hAnsi="Arial" w:cs="Arial"/>
          <w:lang w:val="en-GB"/>
        </w:rPr>
        <w:t xml:space="preserve"> 2012, </w:t>
      </w:r>
      <w:r w:rsidRPr="00480AFC">
        <w:rPr>
          <w:rFonts w:ascii="Arial" w:hAnsi="Arial" w:cs="Arial"/>
          <w:b/>
          <w:lang w:val="en-GB"/>
        </w:rPr>
        <w:t>45:</w:t>
      </w:r>
      <w:r w:rsidRPr="00480AFC">
        <w:rPr>
          <w:rFonts w:ascii="Arial" w:hAnsi="Arial" w:cs="Arial"/>
          <w:lang w:val="en-GB"/>
        </w:rPr>
        <w:t>831-834.</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Fanin M, Benedicenti F, Fritegotto C, Nascimbeni A, Peterle E, Stanzial F, Cristofoletti A, Castellan C, Angelini C: </w:t>
      </w:r>
      <w:r w:rsidRPr="00480AFC">
        <w:rPr>
          <w:rFonts w:ascii="Arial" w:hAnsi="Arial" w:cs="Arial"/>
          <w:b/>
          <w:lang w:val="en-GB"/>
        </w:rPr>
        <w:t>An intronic mutation causes severe LGMD2A in a large inbred family belonging to a genetic isolate in the Alps.</w:t>
      </w:r>
      <w:r w:rsidRPr="00480AFC">
        <w:rPr>
          <w:rFonts w:ascii="Arial" w:hAnsi="Arial" w:cs="Arial"/>
          <w:lang w:val="en-GB"/>
        </w:rPr>
        <w:t xml:space="preserve"> </w:t>
      </w:r>
      <w:r w:rsidRPr="00480AFC">
        <w:rPr>
          <w:rFonts w:ascii="Arial" w:hAnsi="Arial" w:cs="Arial"/>
          <w:i/>
          <w:lang w:val="en-GB"/>
        </w:rPr>
        <w:t>Clin Genet</w:t>
      </w:r>
      <w:r w:rsidRPr="00480AFC">
        <w:rPr>
          <w:rFonts w:ascii="Arial" w:hAnsi="Arial" w:cs="Arial"/>
          <w:lang w:val="en-GB"/>
        </w:rPr>
        <w:t xml:space="preserve"> 2012, </w:t>
      </w:r>
      <w:r w:rsidRPr="00480AFC">
        <w:rPr>
          <w:rFonts w:ascii="Arial" w:hAnsi="Arial" w:cs="Arial"/>
          <w:b/>
          <w:lang w:val="en-GB"/>
        </w:rPr>
        <w:t>82:</w:t>
      </w:r>
      <w:r w:rsidRPr="00480AFC">
        <w:rPr>
          <w:rFonts w:ascii="Arial" w:hAnsi="Arial" w:cs="Arial"/>
          <w:lang w:val="en-GB"/>
        </w:rPr>
        <w:t>601-602.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Mancuso M, Angelini C, Bertini E, Carelli V, Comi GP, Minetti C, Moggio M, Mongini T, Servidei S, Tonin P, Toscano A, Uziel G, Zeviani M, Siciliano G; Nation-wide Italian Collaborative Network of Mitochondrial Diseases: </w:t>
      </w:r>
      <w:r w:rsidRPr="00480AFC">
        <w:rPr>
          <w:rFonts w:ascii="Arial" w:hAnsi="Arial" w:cs="Arial"/>
          <w:b/>
        </w:rPr>
        <w:t xml:space="preserve">Fatigue and exercise intolerance in mitochondrial diseases. </w:t>
      </w:r>
      <w:r w:rsidRPr="00480AFC">
        <w:rPr>
          <w:rFonts w:ascii="Arial" w:hAnsi="Arial" w:cs="Arial"/>
          <w:b/>
          <w:lang w:val="en-GB"/>
        </w:rPr>
        <w:t>Literature revision and experience of the Italian Network of mitochondrial diseases.</w:t>
      </w:r>
      <w:r w:rsidRPr="00480AFC">
        <w:rPr>
          <w:rFonts w:ascii="Arial" w:hAnsi="Arial" w:cs="Arial"/>
          <w:lang w:val="en-GB"/>
        </w:rPr>
        <w:t xml:space="preserve"> </w:t>
      </w:r>
      <w:r w:rsidRPr="00480AFC">
        <w:rPr>
          <w:rFonts w:ascii="Arial" w:hAnsi="Arial" w:cs="Arial"/>
          <w:i/>
          <w:lang w:val="en-GB"/>
        </w:rPr>
        <w:t>Neuromuscul Disord</w:t>
      </w:r>
      <w:r w:rsidRPr="00480AFC">
        <w:rPr>
          <w:rFonts w:ascii="Arial" w:hAnsi="Arial" w:cs="Arial"/>
          <w:lang w:val="en-GB"/>
        </w:rPr>
        <w:t xml:space="preserve"> 2012, </w:t>
      </w:r>
      <w:r w:rsidRPr="00480AFC">
        <w:rPr>
          <w:rFonts w:ascii="Arial" w:hAnsi="Arial" w:cs="Arial"/>
          <w:b/>
          <w:lang w:val="en-GB"/>
        </w:rPr>
        <w:t>22(</w:t>
      </w:r>
      <w:r w:rsidRPr="00480AFC">
        <w:rPr>
          <w:rFonts w:ascii="Arial" w:hAnsi="Arial" w:cs="Arial"/>
          <w:lang w:val="en-GB"/>
        </w:rPr>
        <w:t xml:space="preserve">Suppl 3):S226-S229. </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Kornblum C, Nicholls TJ, Haack TB, Schöler S, Peeva V, Danhauser K, Hallmann K, Zsurka G, Rorbach J, Iuso A, Wieland T, Sciacco M, Ronchi D, Comi GP, Moggio M, Quinzii CM, </w:t>
      </w:r>
      <w:r w:rsidRPr="00480AFC">
        <w:rPr>
          <w:rFonts w:ascii="Arial" w:hAnsi="Arial" w:cs="Arial"/>
          <w:lang w:val="en-GB"/>
        </w:rPr>
        <w:lastRenderedPageBreak/>
        <w:t xml:space="preserve">DiMauro S, Calvo SE, Mootha VK, Klopstock T, Strom TM, Meitinger T, Minczuk M, Kunz WS, Prokisch H: </w:t>
      </w:r>
      <w:r w:rsidRPr="00480AFC">
        <w:rPr>
          <w:rFonts w:ascii="Arial" w:hAnsi="Arial" w:cs="Arial"/>
          <w:b/>
          <w:lang w:val="en-GB"/>
        </w:rPr>
        <w:t>Loss-of-function mutations in MGME1 impair mtDNA replication and cause multisystemic mitochondrial disease.</w:t>
      </w:r>
      <w:r w:rsidRPr="00480AFC">
        <w:rPr>
          <w:rFonts w:ascii="Arial" w:hAnsi="Arial" w:cs="Arial"/>
          <w:lang w:val="en-GB"/>
        </w:rPr>
        <w:t xml:space="preserve"> </w:t>
      </w:r>
      <w:r w:rsidRPr="00480AFC">
        <w:rPr>
          <w:rFonts w:ascii="Arial" w:hAnsi="Arial" w:cs="Arial"/>
          <w:i/>
          <w:lang w:val="en-GB"/>
        </w:rPr>
        <w:t>Nat Genet</w:t>
      </w:r>
      <w:r w:rsidRPr="00480AFC">
        <w:rPr>
          <w:rFonts w:ascii="Arial" w:hAnsi="Arial" w:cs="Arial"/>
          <w:lang w:val="en-GB"/>
        </w:rPr>
        <w:t xml:space="preserve"> 2013, </w:t>
      </w:r>
      <w:r w:rsidRPr="00480AFC">
        <w:rPr>
          <w:rFonts w:ascii="Arial" w:hAnsi="Arial" w:cs="Arial"/>
          <w:b/>
          <w:lang w:val="en-GB"/>
        </w:rPr>
        <w:t>45:</w:t>
      </w:r>
      <w:r w:rsidRPr="00480AFC">
        <w:rPr>
          <w:rFonts w:ascii="Arial" w:hAnsi="Arial" w:cs="Arial"/>
          <w:lang w:val="en-GB"/>
        </w:rPr>
        <w:t>214-219.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Ronchi D, Di Fonzo A, Lin W, Bordoni A, Liu C, Fassone E, Pagliarani S, Rizzuti M, Zheng L, Filosto M, Ferrò MT, Ranieri M, Magri F, Peverelli L, Li H, Yuan YC, Corti S, Sciacco M, Moggio M, Bresolin N, Shen B, Comi GP: </w:t>
      </w:r>
      <w:r w:rsidRPr="00480AFC">
        <w:rPr>
          <w:rFonts w:ascii="Arial" w:hAnsi="Arial" w:cs="Arial"/>
          <w:b/>
        </w:rPr>
        <w:t>Mutations in DNA2 link progressive myopathy to mitochondrial DNA instability.</w:t>
      </w:r>
      <w:r w:rsidRPr="00480AFC">
        <w:rPr>
          <w:rFonts w:ascii="Arial" w:hAnsi="Arial" w:cs="Arial"/>
        </w:rPr>
        <w:t xml:space="preserve"> </w:t>
      </w:r>
      <w:r w:rsidRPr="00480AFC">
        <w:rPr>
          <w:rFonts w:ascii="Arial" w:hAnsi="Arial" w:cs="Arial"/>
          <w:i/>
          <w:lang w:val="en-GB"/>
        </w:rPr>
        <w:t>Am J Hum Genet</w:t>
      </w:r>
      <w:r w:rsidRPr="00480AFC">
        <w:rPr>
          <w:rFonts w:ascii="Arial" w:hAnsi="Arial" w:cs="Arial"/>
          <w:lang w:val="en-GB"/>
        </w:rPr>
        <w:t xml:space="preserve"> 2013, </w:t>
      </w:r>
      <w:r w:rsidRPr="00480AFC">
        <w:rPr>
          <w:rFonts w:ascii="Arial" w:hAnsi="Arial" w:cs="Arial"/>
          <w:b/>
          <w:lang w:val="en-GB"/>
        </w:rPr>
        <w:t>92:</w:t>
      </w:r>
      <w:r w:rsidRPr="00480AFC">
        <w:rPr>
          <w:rFonts w:ascii="Arial" w:hAnsi="Arial" w:cs="Arial"/>
          <w:lang w:val="en-GB"/>
        </w:rPr>
        <w:t>293-300.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Ronchi D, Garone C, Bordoni A, Gutierrez Rios P, Calvo SE, Ripolone M, Ranieri M, Rizzuti M, Villa L, Magri F, Corti S, Bresolin N, Mootha VK, Moggio M, Dimauro S, Comi GP, Sciacco M: </w:t>
      </w:r>
      <w:r w:rsidRPr="00480AFC">
        <w:rPr>
          <w:rFonts w:ascii="Arial" w:hAnsi="Arial" w:cs="Arial"/>
          <w:b/>
          <w:lang w:val="en-GB"/>
        </w:rPr>
        <w:t xml:space="preserve">Next-generation sequencing reveals DGUOK mutations in adult patients with mitochondrial DNA multiple deletions. </w:t>
      </w:r>
      <w:r w:rsidRPr="00480AFC">
        <w:rPr>
          <w:rFonts w:ascii="Arial" w:hAnsi="Arial" w:cs="Arial"/>
          <w:i/>
          <w:lang w:val="en-GB"/>
        </w:rPr>
        <w:t>Brain</w:t>
      </w:r>
      <w:r w:rsidRPr="00480AFC">
        <w:rPr>
          <w:rFonts w:ascii="Arial" w:hAnsi="Arial" w:cs="Arial"/>
          <w:lang w:val="en-GB"/>
        </w:rPr>
        <w:t xml:space="preserve"> 2012, </w:t>
      </w:r>
      <w:r w:rsidRPr="00480AFC">
        <w:rPr>
          <w:rFonts w:ascii="Arial" w:hAnsi="Arial" w:cs="Arial"/>
          <w:b/>
          <w:lang w:val="en-GB"/>
        </w:rPr>
        <w:t>135:</w:t>
      </w:r>
      <w:r w:rsidRPr="00480AFC">
        <w:rPr>
          <w:rFonts w:ascii="Arial" w:hAnsi="Arial" w:cs="Arial"/>
          <w:lang w:val="en-GB"/>
        </w:rPr>
        <w:t>3404-3415.</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Magri F, Govoni A, D'Angelo MG, Del Bo R, Ghezzi S, Sandra G, Turconi AC, Sciacco M, Ciscato P, Bordoni A, Tedeschi S, Fortunato F, Lucchini V, Bonato S, Lamperti C, Coviello D, Torrente Y, Corti S, Moggio M, Bresolin N, Comi GP: </w:t>
      </w:r>
      <w:r w:rsidRPr="00480AFC">
        <w:rPr>
          <w:rFonts w:ascii="Arial" w:hAnsi="Arial" w:cs="Arial"/>
          <w:b/>
          <w:lang w:val="en-GB"/>
        </w:rPr>
        <w:t>Genotype and phenotype characterization in a large dystrophinopathic cohort with extended follow-up.</w:t>
      </w:r>
      <w:r w:rsidRPr="00480AFC">
        <w:rPr>
          <w:rFonts w:ascii="Arial" w:hAnsi="Arial" w:cs="Arial"/>
          <w:lang w:val="en-GB"/>
        </w:rPr>
        <w:t xml:space="preserve"> </w:t>
      </w:r>
      <w:r w:rsidRPr="00480AFC">
        <w:rPr>
          <w:rFonts w:ascii="Arial" w:hAnsi="Arial" w:cs="Arial"/>
          <w:i/>
          <w:lang w:val="en-GB"/>
        </w:rPr>
        <w:t>J Neurol</w:t>
      </w:r>
      <w:r w:rsidRPr="00480AFC">
        <w:rPr>
          <w:rFonts w:ascii="Arial" w:hAnsi="Arial" w:cs="Arial"/>
          <w:lang w:val="en-GB"/>
        </w:rPr>
        <w:t xml:space="preserve"> 2011, </w:t>
      </w:r>
      <w:r w:rsidRPr="00480AFC">
        <w:rPr>
          <w:rFonts w:ascii="Arial" w:hAnsi="Arial" w:cs="Arial"/>
          <w:b/>
          <w:lang w:val="en-GB"/>
        </w:rPr>
        <w:t>258:</w:t>
      </w:r>
      <w:r w:rsidRPr="00480AFC">
        <w:rPr>
          <w:rFonts w:ascii="Arial" w:hAnsi="Arial" w:cs="Arial"/>
          <w:lang w:val="en-GB"/>
        </w:rPr>
        <w:t>1610-1623.</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De Palma C, Morisi F, Cheli S, Pambianco S, Cappello V, Vezzoli M, Rovere-Querini P, Moggio M, Ripolone M, Francolini M, Sandri M, Clementi E: </w:t>
      </w:r>
      <w:r w:rsidRPr="00480AFC">
        <w:rPr>
          <w:rFonts w:ascii="Arial" w:hAnsi="Arial" w:cs="Arial"/>
          <w:b/>
        </w:rPr>
        <w:t xml:space="preserve">Autophagy as a new therapeutic target in Duchenne muscular dystrophy. </w:t>
      </w:r>
      <w:r w:rsidRPr="00480AFC">
        <w:rPr>
          <w:rFonts w:ascii="Arial" w:hAnsi="Arial" w:cs="Arial"/>
          <w:i/>
          <w:lang w:val="en-GB"/>
        </w:rPr>
        <w:t>Cell Death Dis</w:t>
      </w:r>
      <w:r w:rsidRPr="00480AFC">
        <w:rPr>
          <w:rFonts w:ascii="Arial" w:hAnsi="Arial" w:cs="Arial"/>
          <w:lang w:val="en-GB"/>
        </w:rPr>
        <w:t xml:space="preserve"> 2012, </w:t>
      </w:r>
      <w:r w:rsidRPr="00480AFC">
        <w:rPr>
          <w:rFonts w:ascii="Arial" w:hAnsi="Arial" w:cs="Arial"/>
          <w:b/>
          <w:lang w:val="en-GB"/>
        </w:rPr>
        <w:t>3:</w:t>
      </w:r>
      <w:r w:rsidRPr="00480AFC">
        <w:rPr>
          <w:rFonts w:ascii="Arial" w:hAnsi="Arial" w:cs="Arial"/>
          <w:lang w:val="en-GB"/>
        </w:rPr>
        <w:t>e418.</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Mercuri E, Messina S, Bruno C, Mora M, Pegoraro E, Comi GP, D'Amico A, Aiello C, Biancheri R, Berardinelli A, Boffi P, Cassandrini D, Laverda A, Moggio M, Morandi L, Moroni I, Pane M, Pezzani R, Pichiecchio A, Pini A, Minetti C, Mongini T, Mottarelli E, Ricci E, Ruggieri A, Saredi S, Scuderi C, Tessa A, Toscano A, Tortorella G, et al.: </w:t>
      </w:r>
      <w:r w:rsidRPr="00480AFC">
        <w:rPr>
          <w:rFonts w:ascii="Arial" w:hAnsi="Arial" w:cs="Arial"/>
          <w:b/>
        </w:rPr>
        <w:t>Congenital muscular dystrophies with defective glycosylation of dystroglycan: a population study.</w:t>
      </w:r>
      <w:r w:rsidRPr="00480AFC">
        <w:rPr>
          <w:rFonts w:ascii="Arial" w:hAnsi="Arial" w:cs="Arial"/>
        </w:rPr>
        <w:t xml:space="preserve"> </w:t>
      </w:r>
      <w:r w:rsidRPr="00480AFC">
        <w:rPr>
          <w:rFonts w:ascii="Arial" w:hAnsi="Arial" w:cs="Arial"/>
          <w:i/>
          <w:lang w:val="en-GB"/>
        </w:rPr>
        <w:t xml:space="preserve">Neurology </w:t>
      </w:r>
      <w:r w:rsidRPr="00480AFC">
        <w:rPr>
          <w:rFonts w:ascii="Arial" w:hAnsi="Arial" w:cs="Arial"/>
          <w:lang w:val="en-GB"/>
        </w:rPr>
        <w:t xml:space="preserve">2009, </w:t>
      </w:r>
      <w:r w:rsidRPr="00480AFC">
        <w:rPr>
          <w:rFonts w:ascii="Arial" w:hAnsi="Arial" w:cs="Arial"/>
          <w:b/>
          <w:lang w:val="en-GB"/>
        </w:rPr>
        <w:t>72:</w:t>
      </w:r>
      <w:r w:rsidRPr="00480AFC">
        <w:rPr>
          <w:rFonts w:ascii="Arial" w:hAnsi="Arial" w:cs="Arial"/>
          <w:lang w:val="en-GB"/>
        </w:rPr>
        <w:t>1802-1809.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Saredi S, Ardissone A, Ruggieri A, Mottarelli E, Farina L, Rinaldi R, Silvestri E, Gandioli C, D’Arrigo S, Salerno F, Morandi L, Grammatico P, Pantaleoni C, Moroni I, Mora M: </w:t>
      </w:r>
      <w:r w:rsidRPr="00480AFC">
        <w:rPr>
          <w:rFonts w:ascii="Arial" w:hAnsi="Arial" w:cs="Arial"/>
          <w:b/>
        </w:rPr>
        <w:t>Novel POMGnT1 point mutations and intragenic rearrangements associated with muscle-eye-brain disease.</w:t>
      </w:r>
      <w:r w:rsidRPr="00480AFC">
        <w:rPr>
          <w:rFonts w:ascii="Arial" w:hAnsi="Arial" w:cs="Arial"/>
        </w:rPr>
        <w:t xml:space="preserve"> </w:t>
      </w:r>
      <w:r w:rsidRPr="00480AFC">
        <w:rPr>
          <w:rFonts w:ascii="Arial" w:hAnsi="Arial" w:cs="Arial"/>
          <w:i/>
          <w:lang w:val="en-GB"/>
        </w:rPr>
        <w:t>J Neurol Sci</w:t>
      </w:r>
      <w:r w:rsidRPr="00480AFC">
        <w:rPr>
          <w:rFonts w:ascii="Arial" w:hAnsi="Arial" w:cs="Arial"/>
          <w:lang w:val="en-GB"/>
        </w:rPr>
        <w:t xml:space="preserve"> 2012, </w:t>
      </w:r>
      <w:r w:rsidRPr="00480AFC">
        <w:rPr>
          <w:rFonts w:ascii="Arial" w:hAnsi="Arial" w:cs="Arial"/>
          <w:b/>
          <w:lang w:val="en-GB"/>
        </w:rPr>
        <w:t>318:</w:t>
      </w:r>
      <w:r w:rsidRPr="00480AFC">
        <w:rPr>
          <w:rFonts w:ascii="Arial" w:hAnsi="Arial" w:cs="Arial"/>
          <w:lang w:val="en-GB"/>
        </w:rPr>
        <w:t>45-50.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Manzini MC, Tambunan DE, Hill RS, Yu TW, Maynard TM, Heinzen EL, Shianna KV, Stevens CR, Partlow JN, Barry BJ, Rodriguez J, Gupta VA, Al-Qudah AK, Eyaid WM, Friedman JM, Salih MA, Clark R, Moroni I, Mora M, Beggs AH, Gabriel SB, Walsh CA: </w:t>
      </w:r>
      <w:r w:rsidRPr="00480AFC">
        <w:rPr>
          <w:rFonts w:ascii="Arial" w:hAnsi="Arial" w:cs="Arial"/>
          <w:b/>
          <w:lang w:val="en-GB"/>
        </w:rPr>
        <w:t>Exome sequencing and functional validation in zebrafish identify GTDC2 mutations as a cause of Walker-Warburg syndrome.</w:t>
      </w:r>
      <w:r w:rsidRPr="00480AFC">
        <w:rPr>
          <w:rFonts w:ascii="Arial" w:hAnsi="Arial" w:cs="Arial"/>
          <w:lang w:val="en-GB"/>
        </w:rPr>
        <w:t xml:space="preserve"> </w:t>
      </w:r>
      <w:r w:rsidRPr="00480AFC">
        <w:rPr>
          <w:rFonts w:ascii="Arial" w:hAnsi="Arial" w:cs="Arial"/>
          <w:i/>
          <w:lang w:val="en-GB"/>
        </w:rPr>
        <w:t>Am J Hum Genet</w:t>
      </w:r>
      <w:r w:rsidRPr="00480AFC">
        <w:rPr>
          <w:rFonts w:ascii="Arial" w:hAnsi="Arial" w:cs="Arial"/>
          <w:lang w:val="en-GB"/>
        </w:rPr>
        <w:t xml:space="preserve"> 2012, </w:t>
      </w:r>
      <w:r w:rsidRPr="00480AFC">
        <w:rPr>
          <w:rFonts w:ascii="Arial" w:hAnsi="Arial" w:cs="Arial"/>
          <w:b/>
          <w:lang w:val="en-GB"/>
        </w:rPr>
        <w:t>91:</w:t>
      </w:r>
      <w:r w:rsidRPr="00480AFC">
        <w:rPr>
          <w:rFonts w:ascii="Arial" w:hAnsi="Arial" w:cs="Arial"/>
          <w:lang w:val="en-GB"/>
        </w:rPr>
        <w:t>541-547.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Cesana M, Cacchiarelli D, Legnini I, Santini T, Sthandier O, Chinappi M, Tramontano A, Bozzoni I: </w:t>
      </w:r>
      <w:r w:rsidRPr="00480AFC">
        <w:rPr>
          <w:rFonts w:ascii="Arial" w:hAnsi="Arial" w:cs="Arial"/>
          <w:b/>
          <w:lang w:val="en-GB"/>
        </w:rPr>
        <w:t xml:space="preserve">A long noncoding RNA controls muscle differentiation by functioning as a competing endogenous RNA. </w:t>
      </w:r>
      <w:r w:rsidRPr="00480AFC">
        <w:rPr>
          <w:rFonts w:ascii="Arial" w:hAnsi="Arial" w:cs="Arial"/>
          <w:i/>
          <w:lang w:val="en-GB"/>
        </w:rPr>
        <w:t>Cell</w:t>
      </w:r>
      <w:r w:rsidRPr="00480AFC">
        <w:rPr>
          <w:rFonts w:ascii="Arial" w:hAnsi="Arial" w:cs="Arial"/>
          <w:lang w:val="en-GB"/>
        </w:rPr>
        <w:t xml:space="preserve"> 2011, </w:t>
      </w:r>
      <w:r w:rsidRPr="00480AFC">
        <w:rPr>
          <w:rFonts w:ascii="Arial" w:hAnsi="Arial" w:cs="Arial"/>
          <w:b/>
          <w:lang w:val="en-GB"/>
        </w:rPr>
        <w:t>147:</w:t>
      </w:r>
      <w:r w:rsidRPr="00480AFC">
        <w:rPr>
          <w:rFonts w:ascii="Arial" w:hAnsi="Arial" w:cs="Arial"/>
          <w:lang w:val="en-GB"/>
        </w:rPr>
        <w:t xml:space="preserve">358-369. Erratum in: </w:t>
      </w:r>
      <w:r w:rsidRPr="00480AFC">
        <w:rPr>
          <w:rFonts w:ascii="Arial" w:hAnsi="Arial" w:cs="Arial"/>
          <w:i/>
          <w:lang w:val="en-GB"/>
        </w:rPr>
        <w:t>Cell</w:t>
      </w:r>
      <w:r w:rsidRPr="00480AFC">
        <w:rPr>
          <w:rFonts w:ascii="Arial" w:hAnsi="Arial" w:cs="Arial"/>
          <w:lang w:val="en-GB"/>
        </w:rPr>
        <w:t xml:space="preserve"> 2011, </w:t>
      </w:r>
      <w:r w:rsidRPr="00480AFC">
        <w:rPr>
          <w:rFonts w:ascii="Arial" w:hAnsi="Arial" w:cs="Arial"/>
          <w:b/>
          <w:lang w:val="en-GB"/>
        </w:rPr>
        <w:t>147:</w:t>
      </w:r>
      <w:r w:rsidRPr="00480AFC">
        <w:rPr>
          <w:rFonts w:ascii="Arial" w:hAnsi="Arial" w:cs="Arial"/>
          <w:lang w:val="en-GB"/>
        </w:rPr>
        <w:t>947.</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Zanotti S, Gibertini S, Savadori P, Mantegazza R, Mora M: </w:t>
      </w:r>
      <w:r w:rsidRPr="00480AFC">
        <w:rPr>
          <w:rFonts w:ascii="Arial" w:hAnsi="Arial" w:cs="Arial"/>
          <w:b/>
          <w:lang w:val="en-GB"/>
        </w:rPr>
        <w:t>Duchenne muscular dystrophy fibroblast nodules: a cell-based assay for screening anti-fibrotic agents.</w:t>
      </w:r>
      <w:r w:rsidRPr="00480AFC">
        <w:rPr>
          <w:rFonts w:ascii="Arial" w:hAnsi="Arial" w:cs="Arial"/>
          <w:lang w:val="en-GB"/>
        </w:rPr>
        <w:t xml:space="preserve"> </w:t>
      </w:r>
      <w:r w:rsidRPr="00480AFC">
        <w:rPr>
          <w:rFonts w:ascii="Arial" w:hAnsi="Arial" w:cs="Arial"/>
          <w:i/>
          <w:lang w:val="en-GB"/>
        </w:rPr>
        <w:t>Cell Tissue Res</w:t>
      </w:r>
      <w:r w:rsidRPr="00480AFC">
        <w:rPr>
          <w:rFonts w:ascii="Arial" w:hAnsi="Arial" w:cs="Arial"/>
          <w:lang w:val="en-GB"/>
        </w:rPr>
        <w:t xml:space="preserve"> 2013, </w:t>
      </w:r>
      <w:r w:rsidRPr="00480AFC">
        <w:rPr>
          <w:rFonts w:ascii="Arial" w:hAnsi="Arial" w:cs="Arial"/>
          <w:b/>
          <w:lang w:val="en-GB"/>
        </w:rPr>
        <w:t>352:</w:t>
      </w:r>
      <w:r w:rsidRPr="00480AFC">
        <w:rPr>
          <w:rFonts w:ascii="Arial" w:hAnsi="Arial" w:cs="Arial"/>
          <w:lang w:val="en-GB"/>
        </w:rPr>
        <w:t>659-670.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Mercuri E, Messina S, Bruno C, Mora M, Pegoraro E, Comi GP, D'Amico A, Aiello C, Biancheri R, Berardinelli A, Boffi P, Cassandrini D, Laverda A, Moggio M, Morandi L, Moroni I, Pane M, Pezzani R, Pichiecchio A, Pini A, Minetti C, Mongini T, Mottarelli E, Ricci E, Ruggieri A, Saredi S, Scuderi C, Tessa A, Toscano A, Tortorella G, et al.: </w:t>
      </w:r>
      <w:r w:rsidRPr="00480AFC">
        <w:rPr>
          <w:rFonts w:ascii="Arial" w:hAnsi="Arial" w:cs="Arial"/>
          <w:b/>
        </w:rPr>
        <w:t xml:space="preserve">Congenital muscular dystrophies with defective glycosylation of dystroglycan: a population study. </w:t>
      </w:r>
      <w:r w:rsidRPr="00480AFC">
        <w:rPr>
          <w:rFonts w:ascii="Arial" w:hAnsi="Arial" w:cs="Arial"/>
          <w:i/>
          <w:lang w:val="en-GB"/>
        </w:rPr>
        <w:t>Neurology</w:t>
      </w:r>
      <w:r w:rsidRPr="00480AFC">
        <w:rPr>
          <w:rFonts w:ascii="Arial" w:hAnsi="Arial" w:cs="Arial"/>
          <w:lang w:val="en-GB"/>
        </w:rPr>
        <w:t xml:space="preserve"> 2009, </w:t>
      </w:r>
      <w:r w:rsidRPr="00480AFC">
        <w:rPr>
          <w:rFonts w:ascii="Arial" w:hAnsi="Arial" w:cs="Arial"/>
          <w:b/>
          <w:lang w:val="en-GB"/>
        </w:rPr>
        <w:t>72:</w:t>
      </w:r>
      <w:r w:rsidRPr="00480AFC">
        <w:rPr>
          <w:rFonts w:ascii="Arial" w:hAnsi="Arial" w:cs="Arial"/>
          <w:lang w:val="en-GB"/>
        </w:rPr>
        <w:t>1798-1799.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Incitti T, De Angelis FG, Cazzella V, Sthandier O, Pinnarò C, Legnini I, Bozzoni I: </w:t>
      </w:r>
      <w:r w:rsidRPr="00480AFC">
        <w:rPr>
          <w:rFonts w:ascii="Arial" w:hAnsi="Arial" w:cs="Arial"/>
          <w:b/>
          <w:lang w:val="en-GB"/>
        </w:rPr>
        <w:t xml:space="preserve">Exon skipping and duchenne muscular dystrophy therapy: selection of the most active U1 </w:t>
      </w:r>
      <w:r w:rsidRPr="00480AFC">
        <w:rPr>
          <w:rFonts w:ascii="Arial" w:hAnsi="Arial" w:cs="Arial"/>
          <w:b/>
          <w:lang w:val="en-GB"/>
        </w:rPr>
        <w:lastRenderedPageBreak/>
        <w:t>snRNA antisense able to induce dystrophin exon 51 skipping.</w:t>
      </w:r>
      <w:r w:rsidRPr="00480AFC">
        <w:rPr>
          <w:rFonts w:ascii="Arial" w:hAnsi="Arial" w:cs="Arial"/>
          <w:lang w:val="en-GB"/>
        </w:rPr>
        <w:t xml:space="preserve"> </w:t>
      </w:r>
      <w:r w:rsidRPr="00480AFC">
        <w:rPr>
          <w:rFonts w:ascii="Arial" w:hAnsi="Arial" w:cs="Arial"/>
          <w:i/>
          <w:lang w:val="en-GB"/>
        </w:rPr>
        <w:t>Mol Ther</w:t>
      </w:r>
      <w:r w:rsidRPr="00480AFC">
        <w:rPr>
          <w:rFonts w:ascii="Arial" w:hAnsi="Arial" w:cs="Arial"/>
          <w:lang w:val="en-GB"/>
        </w:rPr>
        <w:t xml:space="preserve"> 2010, </w:t>
      </w:r>
      <w:r w:rsidRPr="00480AFC">
        <w:rPr>
          <w:rFonts w:ascii="Arial" w:hAnsi="Arial" w:cs="Arial"/>
          <w:b/>
          <w:lang w:val="en-GB"/>
        </w:rPr>
        <w:t>18:</w:t>
      </w:r>
      <w:r w:rsidRPr="00480AFC">
        <w:rPr>
          <w:rFonts w:ascii="Arial" w:hAnsi="Arial" w:cs="Arial"/>
          <w:lang w:val="en-GB"/>
        </w:rPr>
        <w:t>1675-1682.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Guglieri M, Magri F, D’Angelo MG, Prelle A, Morandi L, Rodolico C, Cagliani R, Mora M, Fortunato F, Bordoni A, Del Bo R, Ghezzi S, Pagliarani S, Lucchiari S, Salani S, Zecca C, Lamperti C, Ronchi D, Aguennouz M, Ciscato P, Di Blasi C, Ruggieri A, Moroni I, Turconi A, Moggio M, Toscano A, Bresolin N, P, Comi GP: </w:t>
      </w:r>
      <w:r w:rsidRPr="00480AFC">
        <w:rPr>
          <w:rFonts w:ascii="Arial" w:hAnsi="Arial" w:cs="Arial"/>
          <w:b/>
        </w:rPr>
        <w:t xml:space="preserve">Clinical, molecular, and protein correlations in a large sample of genetically diagnosed Italian limb girdle muscular dystrophy patients. </w:t>
      </w:r>
      <w:r w:rsidRPr="00480AFC">
        <w:rPr>
          <w:rFonts w:ascii="Arial" w:hAnsi="Arial" w:cs="Arial"/>
          <w:i/>
          <w:lang w:val="en-GB"/>
        </w:rPr>
        <w:t>Hum Mutat</w:t>
      </w:r>
      <w:r w:rsidRPr="00480AFC">
        <w:rPr>
          <w:rFonts w:ascii="Arial" w:hAnsi="Arial" w:cs="Arial"/>
          <w:lang w:val="en-GB"/>
        </w:rPr>
        <w:t xml:space="preserve"> 2008, </w:t>
      </w:r>
      <w:r w:rsidRPr="00480AFC">
        <w:rPr>
          <w:rFonts w:ascii="Arial" w:hAnsi="Arial" w:cs="Arial"/>
          <w:b/>
          <w:lang w:val="en-GB"/>
        </w:rPr>
        <w:t>29:</w:t>
      </w:r>
      <w:r w:rsidRPr="00480AFC">
        <w:rPr>
          <w:rFonts w:ascii="Arial" w:hAnsi="Arial" w:cs="Arial"/>
          <w:lang w:val="en-GB"/>
        </w:rPr>
        <w:t>258-266.</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Tedesco FS, Gerli MF, Perani L, Benedetti S, Ungaro F, Cassano M, Antonini S, Tagliafico E, Artusi V, Longa E, Tonlorenzi R, Ragazzi M, Calderazzi G, Hoshiya H, Cappellari O, Mora M, Schoser B, Schneiderat P, Oshimura M, Bottinelli R, Sampaolesi M, Torrente Y, Broccoli V, Cossu G: </w:t>
      </w:r>
      <w:r w:rsidRPr="00480AFC">
        <w:rPr>
          <w:rFonts w:ascii="Arial" w:hAnsi="Arial" w:cs="Arial"/>
          <w:b/>
          <w:lang w:val="en-GB"/>
        </w:rPr>
        <w:t>Genetic Correction and Transplantation of Human iPSC-Derived Progenitors for Treating Limb-Girdle Muscular Dystrophy.</w:t>
      </w:r>
      <w:r w:rsidRPr="00480AFC">
        <w:rPr>
          <w:rFonts w:ascii="Arial" w:hAnsi="Arial" w:cs="Arial"/>
          <w:lang w:val="en-GB"/>
        </w:rPr>
        <w:t xml:space="preserve"> </w:t>
      </w:r>
      <w:r w:rsidRPr="00480AFC">
        <w:rPr>
          <w:rFonts w:ascii="Arial" w:hAnsi="Arial" w:cs="Arial"/>
          <w:i/>
          <w:lang w:val="en-GB"/>
        </w:rPr>
        <w:t>Sci Transl Med</w:t>
      </w:r>
      <w:r w:rsidRPr="00480AFC">
        <w:rPr>
          <w:rFonts w:ascii="Arial" w:hAnsi="Arial" w:cs="Arial"/>
          <w:lang w:val="en-GB"/>
        </w:rPr>
        <w:t xml:space="preserve"> 2012, </w:t>
      </w:r>
      <w:r w:rsidRPr="00480AFC">
        <w:rPr>
          <w:rFonts w:ascii="Arial" w:hAnsi="Arial" w:cs="Arial"/>
          <w:b/>
          <w:lang w:val="en-GB"/>
        </w:rPr>
        <w:t>4:</w:t>
      </w:r>
      <w:r w:rsidRPr="00480AFC">
        <w:rPr>
          <w:rFonts w:ascii="Arial" w:hAnsi="Arial" w:cs="Arial"/>
          <w:lang w:val="en-GB"/>
        </w:rPr>
        <w:t>140ra89.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Micale L, Augello B, Fusco C, Selicorni A, Loviglio MN, Silengo MC, Reymond A, Gumiero B, Zucchetti F, D'Addetta EV, Belligni E, Calcagnì A, Digilio MC, Dallapiccola B, Faravelli F, Forzano F, Accadia M, Bonfante A, Clementi M, Daolio C, Douzgou S, Ferrari P, Fischetto R, Garavelli L, Lapi E, Mattina T, Melis D, Patricelli MG, Priolo M, Prontera P, et al.: </w:t>
      </w:r>
      <w:r w:rsidRPr="00480AFC">
        <w:rPr>
          <w:rFonts w:ascii="Arial" w:hAnsi="Arial" w:cs="Arial"/>
          <w:b/>
        </w:rPr>
        <w:t>Mutation spectrum of MLL2 in a cohort of Kabuki syndrome patients.</w:t>
      </w:r>
      <w:r w:rsidRPr="00480AFC">
        <w:rPr>
          <w:rFonts w:ascii="Arial" w:hAnsi="Arial" w:cs="Arial"/>
        </w:rPr>
        <w:t xml:space="preserve"> </w:t>
      </w:r>
      <w:r w:rsidRPr="00480AFC">
        <w:rPr>
          <w:rFonts w:ascii="Arial" w:hAnsi="Arial" w:cs="Arial"/>
          <w:i/>
          <w:lang w:val="en-GB"/>
        </w:rPr>
        <w:t xml:space="preserve">Orphanet J Rare Dis </w:t>
      </w:r>
      <w:r w:rsidRPr="00480AFC">
        <w:rPr>
          <w:rFonts w:ascii="Arial" w:hAnsi="Arial" w:cs="Arial"/>
          <w:lang w:val="en-GB"/>
        </w:rPr>
        <w:t xml:space="preserve">2011, </w:t>
      </w:r>
      <w:r w:rsidRPr="00480AFC">
        <w:rPr>
          <w:rFonts w:ascii="Arial" w:hAnsi="Arial" w:cs="Arial"/>
          <w:b/>
          <w:lang w:val="en-GB"/>
        </w:rPr>
        <w:t>6:</w:t>
      </w:r>
      <w:r w:rsidRPr="00480AFC">
        <w:rPr>
          <w:rFonts w:ascii="Arial" w:hAnsi="Arial" w:cs="Arial"/>
          <w:lang w:val="en-GB"/>
        </w:rPr>
        <w:t>38.</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Ejarque I, Uliana V, Forzano F, Marciano C, Merla G, Zelante L, Di Maria E, Faravelli F: </w:t>
      </w:r>
      <w:r w:rsidRPr="00480AFC">
        <w:rPr>
          <w:rFonts w:ascii="Arial" w:hAnsi="Arial" w:cs="Arial"/>
          <w:b/>
        </w:rPr>
        <w:t>Is Hardikar syndrome distinct from Kabuki (Niikawa-Kuroki) sindrome?</w:t>
      </w:r>
      <w:r w:rsidRPr="00480AFC">
        <w:rPr>
          <w:rFonts w:ascii="Arial" w:hAnsi="Arial" w:cs="Arial"/>
        </w:rPr>
        <w:t xml:space="preserve"> </w:t>
      </w:r>
      <w:r w:rsidRPr="00480AFC">
        <w:rPr>
          <w:rFonts w:ascii="Arial" w:hAnsi="Arial" w:cs="Arial"/>
          <w:i/>
          <w:lang w:val="en-GB"/>
        </w:rPr>
        <w:t>Clinical Genetics</w:t>
      </w:r>
      <w:r w:rsidRPr="00480AFC">
        <w:rPr>
          <w:rFonts w:ascii="Arial" w:hAnsi="Arial" w:cs="Arial"/>
          <w:lang w:val="en-GB"/>
        </w:rPr>
        <w:t xml:space="preserve"> 2011, </w:t>
      </w:r>
      <w:r w:rsidRPr="00480AFC">
        <w:rPr>
          <w:rFonts w:ascii="Arial" w:hAnsi="Arial" w:cs="Arial"/>
          <w:b/>
          <w:lang w:val="en-GB"/>
        </w:rPr>
        <w:t>80:</w:t>
      </w:r>
      <w:r w:rsidRPr="00480AFC">
        <w:rPr>
          <w:rFonts w:ascii="Arial" w:hAnsi="Arial" w:cs="Arial"/>
          <w:lang w:val="en-GB"/>
        </w:rPr>
        <w:t>493-496.</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Cacciottolo M, Numitone G, Aurino S, Caserta IR, Fanin M, Politano L, Minetti C, Ricci E, Piluso G, Angelini C, Nigro V: </w:t>
      </w:r>
      <w:r w:rsidRPr="00480AFC">
        <w:rPr>
          <w:rFonts w:ascii="Arial" w:hAnsi="Arial" w:cs="Arial"/>
          <w:b/>
          <w:lang w:val="en-GB"/>
        </w:rPr>
        <w:t>Muscular dystrophy with marked Dysferlin deficiency is consistently caused by primary dysferlin gene mutations.</w:t>
      </w:r>
      <w:r w:rsidRPr="00480AFC">
        <w:rPr>
          <w:rFonts w:ascii="Arial" w:hAnsi="Arial" w:cs="Arial"/>
          <w:lang w:val="en-GB"/>
        </w:rPr>
        <w:t xml:space="preserve"> </w:t>
      </w:r>
      <w:r w:rsidRPr="00480AFC">
        <w:rPr>
          <w:rFonts w:ascii="Arial" w:hAnsi="Arial" w:cs="Arial"/>
          <w:i/>
          <w:lang w:val="en-GB"/>
        </w:rPr>
        <w:t>Eur J Hum Genet</w:t>
      </w:r>
      <w:r w:rsidRPr="00480AFC">
        <w:rPr>
          <w:rFonts w:ascii="Arial" w:hAnsi="Arial" w:cs="Arial"/>
          <w:lang w:val="en-GB"/>
        </w:rPr>
        <w:t xml:space="preserve"> 2011, </w:t>
      </w:r>
      <w:r w:rsidRPr="00480AFC">
        <w:rPr>
          <w:rFonts w:ascii="Arial" w:hAnsi="Arial" w:cs="Arial"/>
          <w:b/>
          <w:lang w:val="en-GB"/>
        </w:rPr>
        <w:t>19:</w:t>
      </w:r>
      <w:r w:rsidRPr="00480AFC">
        <w:rPr>
          <w:rFonts w:ascii="Arial" w:hAnsi="Arial" w:cs="Arial"/>
          <w:lang w:val="en-GB"/>
        </w:rPr>
        <w:t>974-980.</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US"/>
        </w:rPr>
      </w:pPr>
      <w:r w:rsidRPr="00480AFC">
        <w:rPr>
          <w:rFonts w:ascii="Arial" w:hAnsi="Arial" w:cs="Arial"/>
          <w:lang w:val="en-GB"/>
        </w:rPr>
        <w:t xml:space="preserve">Viggiano E, Picillo E, Cirillo A, Politano L: </w:t>
      </w:r>
      <w:r w:rsidRPr="00480AFC">
        <w:rPr>
          <w:rFonts w:ascii="Arial" w:hAnsi="Arial" w:cs="Arial"/>
          <w:b/>
          <w:lang w:val="en-GB"/>
        </w:rPr>
        <w:t>Comparison of X-chromosome inactivation in Duchenne muscle/myocardium-manifesting carriers, non-manifesting carriers and related daughters.</w:t>
      </w:r>
      <w:r w:rsidRPr="00480AFC">
        <w:rPr>
          <w:rFonts w:ascii="Arial" w:hAnsi="Arial" w:cs="Arial"/>
          <w:lang w:val="en-GB"/>
        </w:rPr>
        <w:t xml:space="preserve"> </w:t>
      </w:r>
      <w:r w:rsidRPr="00480AFC">
        <w:rPr>
          <w:rFonts w:ascii="Arial" w:hAnsi="Arial" w:cs="Arial"/>
          <w:i/>
          <w:lang w:val="en-US"/>
        </w:rPr>
        <w:t>Clin Genet</w:t>
      </w:r>
      <w:r w:rsidRPr="00480AFC">
        <w:rPr>
          <w:rFonts w:ascii="Arial" w:hAnsi="Arial" w:cs="Arial"/>
          <w:lang w:val="en-US"/>
        </w:rPr>
        <w:t xml:space="preserve"> 2012, Oct 30. [Epub ahead of print]</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rPr>
      </w:pPr>
      <w:r w:rsidRPr="00480AFC">
        <w:rPr>
          <w:rFonts w:ascii="Arial" w:hAnsi="Arial" w:cs="Arial"/>
        </w:rPr>
        <w:t xml:space="preserve">Bello L, Piva L, Barp A, Taglia A, Picillo E, Vasco G, Pane M, Previtali SC, Torrente Y, Gazzerro E, Motta MC, Grieco GS, Napolitano S, Magri F, D'Amico A, Astrea G, Messina S, Sframeli M, Vita GL, Boffi P, Mongini T, Ferlini A, Gualandi F, Soraru' G, Ermani M, Vita G, Battini R, Bertini E, Comi GP, Berardinelli A, et al.: </w:t>
      </w:r>
      <w:r w:rsidRPr="00480AFC">
        <w:rPr>
          <w:rFonts w:ascii="Arial" w:hAnsi="Arial" w:cs="Arial"/>
          <w:b/>
        </w:rPr>
        <w:t>Importance of SPP1 genotype as a covariate in clinical trials in Duchenne muscular dystrophy.</w:t>
      </w:r>
      <w:r w:rsidRPr="00480AFC">
        <w:rPr>
          <w:rFonts w:ascii="Arial" w:hAnsi="Arial" w:cs="Arial"/>
        </w:rPr>
        <w:t xml:space="preserve"> </w:t>
      </w:r>
      <w:r w:rsidRPr="00480AFC">
        <w:rPr>
          <w:rFonts w:ascii="Arial" w:hAnsi="Arial" w:cs="Arial"/>
          <w:i/>
        </w:rPr>
        <w:t>Neurology</w:t>
      </w:r>
      <w:r w:rsidRPr="00480AFC">
        <w:rPr>
          <w:rFonts w:ascii="Arial" w:hAnsi="Arial" w:cs="Arial"/>
        </w:rPr>
        <w:t xml:space="preserve"> 2012, </w:t>
      </w:r>
      <w:r w:rsidRPr="00480AFC">
        <w:rPr>
          <w:rFonts w:ascii="Arial" w:hAnsi="Arial" w:cs="Arial"/>
          <w:b/>
        </w:rPr>
        <w:t>79:</w:t>
      </w:r>
      <w:r w:rsidRPr="00480AFC">
        <w:rPr>
          <w:rFonts w:ascii="Arial" w:hAnsi="Arial" w:cs="Arial"/>
        </w:rPr>
        <w:t>159-62.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Panteghini C, Zorzi G, Venco P, Dusi S, Reale C, Brunetti D, Chiapparini L, Zibordi F, Siegel B, Garavaglia B, Simonati A, Bertini E, Nardocci N, Tiranti V: </w:t>
      </w:r>
      <w:r w:rsidRPr="00480AFC">
        <w:rPr>
          <w:rFonts w:ascii="Arial" w:hAnsi="Arial" w:cs="Arial"/>
          <w:b/>
        </w:rPr>
        <w:t>C19orf12 and FA2H Mutations Are Rare in Italian Patients With Neurodegeneration With Brain Iron Accumulation.</w:t>
      </w:r>
      <w:r w:rsidRPr="00480AFC">
        <w:rPr>
          <w:rFonts w:ascii="Arial" w:hAnsi="Arial" w:cs="Arial"/>
        </w:rPr>
        <w:t xml:space="preserve"> </w:t>
      </w:r>
      <w:r w:rsidRPr="00480AFC">
        <w:rPr>
          <w:rFonts w:ascii="Arial" w:hAnsi="Arial" w:cs="Arial"/>
          <w:i/>
          <w:lang w:val="en-GB"/>
        </w:rPr>
        <w:t>Semin Pediatr Neurol</w:t>
      </w:r>
      <w:r w:rsidRPr="00480AFC">
        <w:rPr>
          <w:rFonts w:ascii="Arial" w:hAnsi="Arial" w:cs="Arial"/>
          <w:lang w:val="en-GB"/>
        </w:rPr>
        <w:t xml:space="preserve"> 2012, </w:t>
      </w:r>
      <w:r w:rsidRPr="00480AFC">
        <w:rPr>
          <w:rFonts w:ascii="Arial" w:hAnsi="Arial" w:cs="Arial"/>
          <w:b/>
          <w:lang w:val="en-GB"/>
        </w:rPr>
        <w:t>19:</w:t>
      </w:r>
      <w:r w:rsidRPr="00480AFC">
        <w:rPr>
          <w:rFonts w:ascii="Arial" w:hAnsi="Arial" w:cs="Arial"/>
          <w:lang w:val="en-GB"/>
        </w:rPr>
        <w:t>75-81.</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Haack TB, Hogarth P, Kruer MC, Gregory A, Wieland T, Schwarzmayr T, Graf E, Sanford L, Meyer E, Kara E, Cuno SM, Harik SI, Dandu VH, Nardocci N, Zorzi G, Dunaway T, Tarnopolsky M, Skinner S, Frucht S, Hanspal E, Schrander-Stumpel C, Héron D, Mignot C, Garavaglia B, Bhatia K, Hardy J, Strom TM, Boddaert N, Houlden HH, Kurian MA, et al.: </w:t>
      </w:r>
      <w:r w:rsidRPr="00480AFC">
        <w:rPr>
          <w:rFonts w:ascii="Arial" w:hAnsi="Arial" w:cs="Arial"/>
          <w:b/>
          <w:lang w:val="en-GB"/>
        </w:rPr>
        <w:t>Exome sequencing reveals de novo WDR45 mutations causing a phenotypically distinct, X-linked dominant form of NBIA.</w:t>
      </w:r>
      <w:r w:rsidRPr="00480AFC">
        <w:rPr>
          <w:rFonts w:ascii="Arial" w:hAnsi="Arial" w:cs="Arial"/>
          <w:lang w:val="en-GB"/>
        </w:rPr>
        <w:t xml:space="preserve"> </w:t>
      </w:r>
      <w:r w:rsidRPr="00480AFC">
        <w:rPr>
          <w:rFonts w:ascii="Arial" w:hAnsi="Arial" w:cs="Arial"/>
          <w:i/>
          <w:lang w:val="en-GB"/>
        </w:rPr>
        <w:t>Am J Hum Genet</w:t>
      </w:r>
      <w:r w:rsidRPr="00480AFC">
        <w:rPr>
          <w:rFonts w:ascii="Arial" w:hAnsi="Arial" w:cs="Arial"/>
          <w:lang w:val="en-GB"/>
        </w:rPr>
        <w:t xml:space="preserve"> 2012, </w:t>
      </w:r>
      <w:r w:rsidRPr="00480AFC">
        <w:rPr>
          <w:rFonts w:ascii="Arial" w:hAnsi="Arial" w:cs="Arial"/>
          <w:b/>
          <w:lang w:val="en-GB"/>
        </w:rPr>
        <w:t>91:</w:t>
      </w:r>
      <w:r w:rsidRPr="00480AFC">
        <w:rPr>
          <w:rFonts w:ascii="Arial" w:hAnsi="Arial" w:cs="Arial"/>
          <w:lang w:val="en-GB"/>
        </w:rPr>
        <w:t>1144-1149.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Campanella A, Privitera D, Guaraldo M, Rovelli E, Barzaghi C, Garavaglia B, Santambrogio P, Cozzi A, Levi S: </w:t>
      </w:r>
      <w:r w:rsidRPr="00480AFC">
        <w:rPr>
          <w:rFonts w:ascii="Arial" w:hAnsi="Arial" w:cs="Arial"/>
          <w:b/>
          <w:lang w:val="en-GB"/>
        </w:rPr>
        <w:t>Skin fibroblasts from pantothenate kinase-associated neurodegeneration patients show altered cellular oxidative status and have defective iron-handling properties.</w:t>
      </w:r>
      <w:r w:rsidRPr="00480AFC">
        <w:rPr>
          <w:rFonts w:ascii="Arial" w:hAnsi="Arial" w:cs="Arial"/>
          <w:lang w:val="en-GB"/>
        </w:rPr>
        <w:t xml:space="preserve"> </w:t>
      </w:r>
      <w:r w:rsidRPr="00480AFC">
        <w:rPr>
          <w:rFonts w:ascii="Arial" w:hAnsi="Arial" w:cs="Arial"/>
          <w:i/>
          <w:lang w:val="en-GB"/>
        </w:rPr>
        <w:t>Hum Mol Genet</w:t>
      </w:r>
      <w:r w:rsidRPr="00480AFC">
        <w:rPr>
          <w:rFonts w:ascii="Arial" w:hAnsi="Arial" w:cs="Arial"/>
          <w:lang w:val="en-GB"/>
        </w:rPr>
        <w:t xml:space="preserve"> 2012, </w:t>
      </w:r>
      <w:r w:rsidRPr="00480AFC">
        <w:rPr>
          <w:rFonts w:ascii="Arial" w:hAnsi="Arial" w:cs="Arial"/>
          <w:b/>
          <w:lang w:val="en-GB"/>
        </w:rPr>
        <w:t>21:</w:t>
      </w:r>
      <w:r w:rsidRPr="00480AFC">
        <w:rPr>
          <w:rFonts w:ascii="Arial" w:hAnsi="Arial" w:cs="Arial"/>
          <w:lang w:val="en-GB"/>
        </w:rPr>
        <w:t>4049-4059.</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lastRenderedPageBreak/>
        <w:t xml:space="preserve">Leoni V, Strittmatter L, Zorzi G, Zibordi F, Dusi S, Garavaglia B, Venco P, Caccia C, Souza AL, Deik A, Clish CB, Rimoldi M, Ciusani E, Bertini E, Nardocci N, Mootha VK, Tiranti V: </w:t>
      </w:r>
      <w:r w:rsidRPr="00480AFC">
        <w:rPr>
          <w:rFonts w:ascii="Arial" w:hAnsi="Arial" w:cs="Arial"/>
          <w:b/>
          <w:lang w:val="en-GB"/>
        </w:rPr>
        <w:t>Metabolic consequences of mitochondrial coenzyme A deficiency in patients with PANK2 mutations.</w:t>
      </w:r>
      <w:r w:rsidRPr="00480AFC">
        <w:rPr>
          <w:rFonts w:ascii="Arial" w:hAnsi="Arial" w:cs="Arial"/>
          <w:lang w:val="en-GB"/>
        </w:rPr>
        <w:t xml:space="preserve"> </w:t>
      </w:r>
      <w:r w:rsidRPr="00480AFC">
        <w:rPr>
          <w:rFonts w:ascii="Arial" w:hAnsi="Arial" w:cs="Arial"/>
          <w:i/>
          <w:lang w:val="en-GB"/>
        </w:rPr>
        <w:t>Mol Genet Metab</w:t>
      </w:r>
      <w:r w:rsidRPr="00480AFC">
        <w:rPr>
          <w:rFonts w:ascii="Arial" w:hAnsi="Arial" w:cs="Arial"/>
          <w:lang w:val="en-GB"/>
        </w:rPr>
        <w:t xml:space="preserve"> 2012, </w:t>
      </w:r>
      <w:r w:rsidRPr="00480AFC">
        <w:rPr>
          <w:rFonts w:ascii="Arial" w:hAnsi="Arial" w:cs="Arial"/>
          <w:b/>
          <w:lang w:val="en-GB"/>
        </w:rPr>
        <w:t>105:</w:t>
      </w:r>
      <w:r w:rsidRPr="00480AFC">
        <w:rPr>
          <w:rFonts w:ascii="Arial" w:hAnsi="Arial" w:cs="Arial"/>
          <w:lang w:val="en-GB"/>
        </w:rPr>
        <w:t>463-471</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lang w:val="en-GB"/>
        </w:rPr>
        <w:t xml:space="preserve">Chiapparini L, Savoiardo M, D'Arrigo S, Reale C, Zorzi G, Zibordi F, Cordelli DM, Franzoni E, Garavaglia B, Nardocci N: </w:t>
      </w:r>
      <w:r w:rsidRPr="00480AFC">
        <w:rPr>
          <w:rFonts w:ascii="Arial" w:hAnsi="Arial" w:cs="Arial"/>
          <w:b/>
          <w:lang w:val="en-GB"/>
        </w:rPr>
        <w:t>The "eye-of-the-tiger" sign may be absent in the early stages of classic pantothenate kinase associated neurodegeneration.</w:t>
      </w:r>
      <w:r w:rsidRPr="00480AFC">
        <w:rPr>
          <w:rFonts w:ascii="Arial" w:hAnsi="Arial" w:cs="Arial"/>
          <w:lang w:val="en-GB"/>
        </w:rPr>
        <w:t xml:space="preserve"> </w:t>
      </w:r>
      <w:r w:rsidRPr="00480AFC">
        <w:rPr>
          <w:rFonts w:ascii="Arial" w:hAnsi="Arial" w:cs="Arial"/>
          <w:i/>
          <w:lang w:val="en-GB"/>
        </w:rPr>
        <w:t>Neuropediatrics</w:t>
      </w:r>
      <w:r w:rsidRPr="00480AFC">
        <w:rPr>
          <w:rFonts w:ascii="Arial" w:hAnsi="Arial" w:cs="Arial"/>
          <w:lang w:val="en-GB"/>
        </w:rPr>
        <w:t xml:space="preserve"> 2011, </w:t>
      </w:r>
      <w:r w:rsidRPr="00480AFC">
        <w:rPr>
          <w:rFonts w:ascii="Arial" w:hAnsi="Arial" w:cs="Arial"/>
          <w:b/>
          <w:lang w:val="en-GB"/>
        </w:rPr>
        <w:t>42:</w:t>
      </w:r>
      <w:r w:rsidRPr="00480AFC">
        <w:rPr>
          <w:rFonts w:ascii="Arial" w:hAnsi="Arial" w:cs="Arial"/>
          <w:lang w:val="en-GB"/>
        </w:rPr>
        <w:t>159-162.</w:t>
      </w:r>
    </w:p>
    <w:p w:rsidR="00000000" w:rsidRDefault="0041622F">
      <w:pPr>
        <w:pStyle w:val="Paragrafoelenco"/>
        <w:numPr>
          <w:ilvl w:val="0"/>
          <w:numId w:val="1"/>
        </w:numPr>
        <w:tabs>
          <w:tab w:val="left" w:pos="426"/>
        </w:tabs>
        <w:spacing w:after="0"/>
        <w:ind w:left="426" w:hanging="426"/>
        <w:contextualSpacing w:val="0"/>
        <w:jc w:val="both"/>
        <w:rPr>
          <w:rFonts w:ascii="Arial" w:hAnsi="Arial" w:cs="Arial"/>
          <w:lang w:val="en-GB"/>
        </w:rPr>
      </w:pPr>
      <w:r w:rsidRPr="00480AFC">
        <w:rPr>
          <w:rFonts w:ascii="Arial" w:hAnsi="Arial" w:cs="Arial"/>
        </w:rPr>
        <w:t xml:space="preserve">Santorelli FM, Garavaglia B, Cardona F, Nardocci N, Bernardina BD, Sartori S, Suppiej A, Bertini E, Claps D, Battini R, Biancheri R, Filocamo M, Pezzini F, Simonati A: </w:t>
      </w:r>
      <w:r w:rsidRPr="00480AFC">
        <w:rPr>
          <w:rFonts w:ascii="Arial" w:hAnsi="Arial" w:cs="Arial"/>
          <w:b/>
        </w:rPr>
        <w:t>Molecular epidemiology of childhood neuronal ceroid-lipofuscinosis in Italy.</w:t>
      </w:r>
      <w:r w:rsidRPr="00480AFC">
        <w:rPr>
          <w:rFonts w:ascii="Arial" w:hAnsi="Arial" w:cs="Arial"/>
        </w:rPr>
        <w:t xml:space="preserve"> </w:t>
      </w:r>
      <w:r w:rsidRPr="00480AFC">
        <w:rPr>
          <w:rFonts w:ascii="Arial" w:hAnsi="Arial" w:cs="Arial"/>
          <w:i/>
          <w:lang w:val="en-GB"/>
        </w:rPr>
        <w:t>Orphanet J Rare Dis</w:t>
      </w:r>
      <w:r w:rsidRPr="00480AFC">
        <w:rPr>
          <w:rFonts w:ascii="Arial" w:hAnsi="Arial" w:cs="Arial"/>
          <w:lang w:val="en-GB"/>
        </w:rPr>
        <w:t xml:space="preserve"> 2013, </w:t>
      </w:r>
      <w:r w:rsidRPr="00480AFC">
        <w:rPr>
          <w:rFonts w:ascii="Arial" w:hAnsi="Arial" w:cs="Arial"/>
          <w:b/>
          <w:lang w:val="en-GB"/>
        </w:rPr>
        <w:t>8:</w:t>
      </w:r>
      <w:r w:rsidRPr="00480AFC">
        <w:rPr>
          <w:rFonts w:ascii="Arial" w:hAnsi="Arial" w:cs="Arial"/>
          <w:lang w:val="en-GB"/>
        </w:rPr>
        <w:t>19.</w:t>
      </w:r>
    </w:p>
    <w:p w:rsidR="00856077" w:rsidRDefault="00856077">
      <w:pPr>
        <w:jc w:val="both"/>
        <w:rPr>
          <w:b/>
          <w:lang w:val="en-US"/>
        </w:rPr>
        <w:sectPr w:rsidR="00856077" w:rsidSect="00856077">
          <w:pgSz w:w="11906" w:h="16838"/>
          <w:pgMar w:top="1418" w:right="1134" w:bottom="1134" w:left="1134" w:header="709" w:footer="709" w:gutter="0"/>
          <w:cols w:space="708"/>
          <w:docGrid w:linePitch="360"/>
        </w:sectPr>
      </w:pPr>
    </w:p>
    <w:p w:rsidR="00923CD9" w:rsidRDefault="00923CD9">
      <w:pPr>
        <w:jc w:val="both"/>
        <w:rPr>
          <w:b/>
          <w:lang w:val="en-US"/>
        </w:rPr>
      </w:pPr>
    </w:p>
    <w:sectPr w:rsidR="00923CD9" w:rsidSect="00856077">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63FD7"/>
    <w:multiLevelType w:val="hybridMultilevel"/>
    <w:tmpl w:val="BC22FC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D571C4"/>
    <w:rsid w:val="000325D0"/>
    <w:rsid w:val="00047E20"/>
    <w:rsid w:val="000540AD"/>
    <w:rsid w:val="000547DC"/>
    <w:rsid w:val="00081A13"/>
    <w:rsid w:val="000E3672"/>
    <w:rsid w:val="001112A4"/>
    <w:rsid w:val="001B496B"/>
    <w:rsid w:val="001E1DEE"/>
    <w:rsid w:val="00207675"/>
    <w:rsid w:val="002740CF"/>
    <w:rsid w:val="002820B9"/>
    <w:rsid w:val="002C3CEC"/>
    <w:rsid w:val="00306ECC"/>
    <w:rsid w:val="00340B28"/>
    <w:rsid w:val="00366692"/>
    <w:rsid w:val="0038273F"/>
    <w:rsid w:val="00394BE3"/>
    <w:rsid w:val="003B019A"/>
    <w:rsid w:val="0041622F"/>
    <w:rsid w:val="004338A1"/>
    <w:rsid w:val="00441FB3"/>
    <w:rsid w:val="00480AFC"/>
    <w:rsid w:val="004846CD"/>
    <w:rsid w:val="00586504"/>
    <w:rsid w:val="00587A59"/>
    <w:rsid w:val="00593BED"/>
    <w:rsid w:val="00596F37"/>
    <w:rsid w:val="00602141"/>
    <w:rsid w:val="006A3AE4"/>
    <w:rsid w:val="006A3E86"/>
    <w:rsid w:val="006A4E95"/>
    <w:rsid w:val="007979AD"/>
    <w:rsid w:val="00800692"/>
    <w:rsid w:val="00802619"/>
    <w:rsid w:val="008559F1"/>
    <w:rsid w:val="00856077"/>
    <w:rsid w:val="00884938"/>
    <w:rsid w:val="00890A07"/>
    <w:rsid w:val="00922684"/>
    <w:rsid w:val="00923CD9"/>
    <w:rsid w:val="009621FA"/>
    <w:rsid w:val="00975329"/>
    <w:rsid w:val="009841EF"/>
    <w:rsid w:val="009C7E75"/>
    <w:rsid w:val="00A13262"/>
    <w:rsid w:val="00A23D9D"/>
    <w:rsid w:val="00B04754"/>
    <w:rsid w:val="00B4064A"/>
    <w:rsid w:val="00B50477"/>
    <w:rsid w:val="00BA4BBA"/>
    <w:rsid w:val="00BD3A00"/>
    <w:rsid w:val="00BD7FA7"/>
    <w:rsid w:val="00C804B0"/>
    <w:rsid w:val="00C81810"/>
    <w:rsid w:val="00CC1B97"/>
    <w:rsid w:val="00CD5B35"/>
    <w:rsid w:val="00CE1BA5"/>
    <w:rsid w:val="00D4509D"/>
    <w:rsid w:val="00D571C4"/>
    <w:rsid w:val="00DD70F8"/>
    <w:rsid w:val="00E0658C"/>
    <w:rsid w:val="00E119B2"/>
    <w:rsid w:val="00E53D1A"/>
    <w:rsid w:val="00E635F5"/>
    <w:rsid w:val="00F06CE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767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571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E635F5"/>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D450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509D"/>
    <w:rPr>
      <w:rFonts w:ascii="Tahoma" w:hAnsi="Tahoma" w:cs="Tahoma"/>
      <w:sz w:val="16"/>
      <w:szCs w:val="16"/>
      <w:lang w:eastAsia="en-US"/>
    </w:rPr>
  </w:style>
  <w:style w:type="paragraph" w:styleId="Paragrafoelenco">
    <w:name w:val="List Paragraph"/>
    <w:basedOn w:val="Normale"/>
    <w:uiPriority w:val="34"/>
    <w:qFormat/>
    <w:rsid w:val="0041622F"/>
    <w:pPr>
      <w:ind w:left="720"/>
      <w:contextualSpacing/>
    </w:pPr>
    <w:rPr>
      <w:rFonts w:asciiTheme="minorHAnsi" w:eastAsiaTheme="minorEastAsia" w:hAnsiTheme="minorHAnsi" w:cstheme="minorBidi"/>
      <w:lang w:eastAsia="it-IT"/>
    </w:rPr>
  </w:style>
</w:styles>
</file>

<file path=word/webSettings.xml><?xml version="1.0" encoding="utf-8"?>
<w:webSettings xmlns:r="http://schemas.openxmlformats.org/officeDocument/2006/relationships" xmlns:w="http://schemas.openxmlformats.org/wordprocessingml/2006/main">
  <w:divs>
    <w:div w:id="18849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5E16F-4E99-4EE8-91AA-A43F68E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3158</Words>
  <Characters>18006</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mirella 2</dc:creator>
  <cp:lastModifiedBy>mirella 2</cp:lastModifiedBy>
  <cp:revision>3</cp:revision>
  <cp:lastPrinted>2013-06-06T08:24:00Z</cp:lastPrinted>
  <dcterms:created xsi:type="dcterms:W3CDTF">2013-08-14T07:53:00Z</dcterms:created>
  <dcterms:modified xsi:type="dcterms:W3CDTF">2013-08-14T08:00:00Z</dcterms:modified>
</cp:coreProperties>
</file>