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1" w:type="dxa"/>
        <w:tblLayout w:type="fixed"/>
        <w:tblLook w:val="0000"/>
      </w:tblPr>
      <w:tblGrid>
        <w:gridCol w:w="818"/>
        <w:gridCol w:w="5230"/>
        <w:gridCol w:w="1710"/>
        <w:gridCol w:w="810"/>
        <w:gridCol w:w="1183"/>
      </w:tblGrid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b/>
                <w:bCs/>
                <w:sz w:val="16"/>
                <w:szCs w:val="20"/>
              </w:rPr>
            </w:pPr>
            <w:r>
              <w:rPr>
                <w:rFonts w:eastAsia="Times New Roman" w:cs="Calibri"/>
                <w:b/>
                <w:bCs/>
                <w:sz w:val="16"/>
                <w:szCs w:val="20"/>
              </w:rPr>
              <w:t>PATH ID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b/>
                <w:bCs/>
                <w:sz w:val="16"/>
                <w:szCs w:val="20"/>
              </w:rPr>
            </w:pPr>
            <w:r>
              <w:rPr>
                <w:rFonts w:eastAsia="Times New Roman" w:cs="Calibri"/>
                <w:b/>
                <w:bCs/>
                <w:sz w:val="16"/>
                <w:szCs w:val="20"/>
              </w:rPr>
              <w:t>Name</w:t>
            </w:r>
          </w:p>
        </w:tc>
        <w:tc>
          <w:tcPr>
            <w:tcW w:w="1710" w:type="dxa"/>
            <w:shd w:val="clear" w:color="auto" w:fill="FFFFFF"/>
          </w:tcPr>
          <w:p w:rsidR="00B07A31" w:rsidRDefault="005E7E4B" w:rsidP="00C35C99">
            <w:pPr>
              <w:spacing w:after="0" w:line="100" w:lineRule="atLeast"/>
              <w:jc w:val="center"/>
              <w:rPr>
                <w:rFonts w:eastAsia="Times New Roman" w:cs="Calibri"/>
                <w:b/>
                <w:bCs/>
                <w:sz w:val="16"/>
                <w:szCs w:val="20"/>
              </w:rPr>
            </w:pPr>
            <w:r>
              <w:rPr>
                <w:rFonts w:eastAsia="Times New Roman" w:cs="Calibri"/>
                <w:b/>
                <w:bCs/>
                <w:sz w:val="16"/>
                <w:szCs w:val="20"/>
              </w:rPr>
              <w:t>Number of significant genes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b/>
                <w:bCs/>
                <w:sz w:val="16"/>
                <w:szCs w:val="20"/>
              </w:rPr>
            </w:pPr>
            <w:r>
              <w:rPr>
                <w:rFonts w:eastAsia="Times New Roman" w:cs="Calibri"/>
                <w:b/>
                <w:bCs/>
                <w:sz w:val="16"/>
                <w:szCs w:val="20"/>
              </w:rPr>
              <w:t>p-value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b/>
                <w:bCs/>
                <w:sz w:val="16"/>
                <w:szCs w:val="20"/>
              </w:rPr>
              <w:t>FDR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289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KEGG RIBOSOME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496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FORMATION OF A POOL OF FREE 40S SUBUNITS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738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TRANSLATION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752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VIRAL MRNA TRANSLATION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&lt;0.098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537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GTP HYDROLYSIS AND JOINING OF THE 60S RIBOSOMAL SUBUNIT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621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PEPTIDE CHAIN ELONGATION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817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RNA POLYMERASE I III AND MITOCHONDRIAL TRANSCRIPTION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0.098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653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REGULATION OF BETA CELL DEVELOPMENT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0.002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0.104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654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REGULATION OF GENE EXPRESSION IN BETA CELLS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0.002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0.104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723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TELOMERE MAINTENANCE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0.002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0.104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734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TRANSCRIPTION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0.002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0.104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551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INFLUENZA LIFE CYCLE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0.003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0.132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552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INFLUENZA VIRAL RNA TRANSCRIPTION AND REPLICATION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0.003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0.132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556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INSULIN SYNTHESIS AND SECRETION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0.005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0.191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802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RNA POLYMERASE I PROMOTER OPENING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0.007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0.237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795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VITAMIN B5 (PANTOTHENATE) METABOLISM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8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0.009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0.283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396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KEGG SYSTEMIC LUPUS ERYTHEMATOSUS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0.010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0.284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576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METABOLISM OF PROTEINS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0.013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0.318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470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DIABETES PATHWAYS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0.016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0.381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670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RNA POLYMERASE I PROMOTER CLEARANCE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9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0.021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0.440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641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REACTOME PREFOLDIN MEDIATED TRANSFER OF SUBSTRATE TO CCT TRIC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6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0.036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0.547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389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KEGG BLADDER CANCER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9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0.041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0.547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17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BIOCARTA CHEMICAL PATHWAY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4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0.042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0.552</w:t>
            </w:r>
          </w:p>
        </w:tc>
      </w:tr>
      <w:tr w:rsidR="00B07A31" w:rsidTr="005E7E4B">
        <w:trPr>
          <w:trHeight w:val="264"/>
        </w:trPr>
        <w:tc>
          <w:tcPr>
            <w:tcW w:w="818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295</w:t>
            </w:r>
          </w:p>
        </w:tc>
        <w:tc>
          <w:tcPr>
            <w:tcW w:w="523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KEGG PROTEASOME</w:t>
            </w:r>
          </w:p>
        </w:tc>
        <w:tc>
          <w:tcPr>
            <w:tcW w:w="17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eastAsia="Times New Roman" w:cs="Calibri"/>
                <w:sz w:val="16"/>
                <w:szCs w:val="20"/>
              </w:rPr>
            </w:pPr>
            <w:r>
              <w:rPr>
                <w:rFonts w:eastAsia="Times New Roman" w:cs="Calibri"/>
                <w:sz w:val="16"/>
                <w:szCs w:val="20"/>
              </w:rPr>
              <w:t>0.046</w:t>
            </w:r>
          </w:p>
        </w:tc>
        <w:tc>
          <w:tcPr>
            <w:tcW w:w="1183" w:type="dxa"/>
            <w:shd w:val="clear" w:color="auto" w:fill="FFFFFF"/>
          </w:tcPr>
          <w:p w:rsidR="00B07A31" w:rsidRDefault="00B07A31" w:rsidP="00C35C99">
            <w:pPr>
              <w:spacing w:after="0" w:line="100" w:lineRule="atLeast"/>
              <w:jc w:val="center"/>
              <w:rPr>
                <w:rFonts w:cs="Calibri"/>
                <w:color w:val="222222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20"/>
              </w:rPr>
              <w:t>0.570</w:t>
            </w:r>
          </w:p>
        </w:tc>
      </w:tr>
    </w:tbl>
    <w:p w:rsidR="00B07A31" w:rsidRDefault="00B07A31">
      <w:pPr>
        <w:rPr>
          <w:rFonts w:cs="Calibri"/>
          <w:color w:val="222222"/>
        </w:rPr>
      </w:pPr>
      <w:r>
        <w:rPr>
          <w:rFonts w:cs="Calibri"/>
          <w:color w:val="222222"/>
          <w:sz w:val="16"/>
          <w:szCs w:val="16"/>
        </w:rPr>
        <w:br/>
      </w:r>
      <w:r>
        <w:rPr>
          <w:rFonts w:cs="Calibri"/>
          <w:b/>
          <w:bCs/>
          <w:color w:val="222222"/>
        </w:rPr>
        <w:t xml:space="preserve">Table S1: Significantly overlapping DEPATHs between Blood and </w:t>
      </w:r>
      <w:proofErr w:type="spellStart"/>
      <w:r>
        <w:rPr>
          <w:rFonts w:cs="Calibri"/>
          <w:b/>
          <w:bCs/>
          <w:color w:val="222222"/>
        </w:rPr>
        <w:t>Hemibrain</w:t>
      </w:r>
      <w:proofErr w:type="spellEnd"/>
      <w:r>
        <w:rPr>
          <w:rFonts w:cs="Calibri"/>
          <w:b/>
          <w:bCs/>
          <w:color w:val="222222"/>
        </w:rPr>
        <w:t xml:space="preserve">. </w:t>
      </w:r>
      <w:r>
        <w:rPr>
          <w:rFonts w:cs="Calibri"/>
          <w:color w:val="222222"/>
        </w:rPr>
        <w:t xml:space="preserve">We list sub-pathways as before with information deriving from the analysis conducted on the Blood data. We note the prevalence of insulin-/diabetes-related sub-pathways in this list, which suggests similarity to the KEGG TYPE I DIABETES MELLITUS sub-pathway present in the overlap between </w:t>
      </w:r>
      <w:proofErr w:type="spellStart"/>
      <w:r>
        <w:rPr>
          <w:rFonts w:cs="Calibri"/>
          <w:color w:val="222222"/>
        </w:rPr>
        <w:t>Amygdala</w:t>
      </w:r>
      <w:proofErr w:type="spellEnd"/>
      <w:r>
        <w:rPr>
          <w:rFonts w:cs="Calibri"/>
          <w:color w:val="222222"/>
        </w:rPr>
        <w:t xml:space="preserve"> and Hippocampus (Table 1).</w:t>
      </w:r>
    </w:p>
    <w:p w:rsidR="005E7E4B" w:rsidRDefault="005E7E4B">
      <w:pPr>
        <w:rPr>
          <w:rFonts w:cs="Calibri"/>
          <w:color w:val="222222"/>
        </w:rPr>
      </w:pPr>
    </w:p>
    <w:p w:rsidR="005E7E4B" w:rsidRDefault="005E7E4B">
      <w:pPr>
        <w:rPr>
          <w:rFonts w:cs="Calibri"/>
          <w:color w:val="222222"/>
        </w:rPr>
      </w:pPr>
    </w:p>
    <w:sectPr w:rsidR="005E7E4B" w:rsidSect="00EF6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font294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B07A31"/>
    <w:rsid w:val="00091BAA"/>
    <w:rsid w:val="002707F1"/>
    <w:rsid w:val="003B542E"/>
    <w:rsid w:val="005E7E4B"/>
    <w:rsid w:val="007511B0"/>
    <w:rsid w:val="00A84B9A"/>
    <w:rsid w:val="00AE5C68"/>
    <w:rsid w:val="00B07A31"/>
    <w:rsid w:val="00C42053"/>
    <w:rsid w:val="00C46ACC"/>
    <w:rsid w:val="00D0676B"/>
    <w:rsid w:val="00D80867"/>
    <w:rsid w:val="00EF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A31"/>
    <w:pPr>
      <w:suppressAutoHyphens/>
    </w:pPr>
    <w:rPr>
      <w:rFonts w:ascii="Calibri" w:eastAsia="Arial Unicode MS" w:hAnsi="Calibri" w:cs="font294"/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42E"/>
    <w:rPr>
      <w:rFonts w:ascii="Tahoma" w:eastAsia="Arial Unicode MS" w:hAnsi="Tahoma" w:cs="Tahoma"/>
      <w:kern w:val="1"/>
      <w:sz w:val="16"/>
      <w:szCs w:val="16"/>
      <w:lang w:eastAsia="ar-SA"/>
    </w:rPr>
  </w:style>
  <w:style w:type="table" w:styleId="TableGrid">
    <w:name w:val="Table Grid"/>
    <w:basedOn w:val="TableNormal"/>
    <w:uiPriority w:val="59"/>
    <w:rsid w:val="00D80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ruoting</dc:creator>
  <cp:lastModifiedBy>ruoting</cp:lastModifiedBy>
  <cp:revision>3</cp:revision>
  <dcterms:created xsi:type="dcterms:W3CDTF">2013-04-15T15:27:00Z</dcterms:created>
  <dcterms:modified xsi:type="dcterms:W3CDTF">2013-04-15T15:27:00Z</dcterms:modified>
</cp:coreProperties>
</file>