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1F6" w:rsidRDefault="009F01F6" w:rsidP="009F01F6">
      <w:pPr>
        <w:spacing w:after="0" w:line="480" w:lineRule="auto"/>
        <w:rPr>
          <w:rFonts w:ascii="Cambria" w:eastAsia="MS Mincho" w:hAnsi="Cambria"/>
          <w:sz w:val="24"/>
          <w:szCs w:val="24"/>
          <w:lang w:val="en-CA"/>
        </w:rPr>
      </w:pPr>
      <w:r>
        <w:rPr>
          <w:noProof/>
          <w:lang w:eastAsia="fr-CA"/>
        </w:rPr>
        <w:drawing>
          <wp:inline distT="0" distB="0" distL="0" distR="0" wp14:anchorId="7161BF5A" wp14:editId="4DF6E0B9">
            <wp:extent cx="4499610" cy="2567305"/>
            <wp:effectExtent l="0" t="0" r="0" b="4445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F01F6" w:rsidRDefault="009F01F6" w:rsidP="009F01F6">
      <w:pPr>
        <w:rPr>
          <w:rFonts w:ascii="Cambria" w:hAnsi="Cambria"/>
          <w:sz w:val="24"/>
          <w:szCs w:val="24"/>
          <w:lang w:val="en-CA"/>
        </w:rPr>
      </w:pPr>
    </w:p>
    <w:p w:rsidR="009F01F6" w:rsidRPr="008C233B" w:rsidRDefault="009F01F6" w:rsidP="009F01F6">
      <w:pPr>
        <w:rPr>
          <w:rFonts w:ascii="Cambria" w:hAnsi="Cambria"/>
          <w:sz w:val="24"/>
          <w:szCs w:val="24"/>
          <w:lang w:val="en-CA"/>
        </w:rPr>
      </w:pPr>
      <w:r w:rsidRPr="00DA5CA9">
        <w:rPr>
          <w:rFonts w:ascii="Cambria" w:hAnsi="Cambria"/>
          <w:b/>
          <w:sz w:val="24"/>
          <w:szCs w:val="24"/>
          <w:lang w:val="en-CA"/>
        </w:rPr>
        <w:t>Fig</w:t>
      </w:r>
      <w:r w:rsidR="00DA5CA9" w:rsidRPr="00DA5CA9">
        <w:rPr>
          <w:rFonts w:ascii="Cambria" w:hAnsi="Cambria"/>
          <w:b/>
          <w:sz w:val="24"/>
          <w:szCs w:val="24"/>
          <w:lang w:val="en-CA"/>
        </w:rPr>
        <w:t xml:space="preserve">ure </w:t>
      </w:r>
      <w:r w:rsidR="00785423">
        <w:rPr>
          <w:rFonts w:ascii="Cambria" w:hAnsi="Cambria"/>
          <w:b/>
          <w:sz w:val="24"/>
          <w:szCs w:val="24"/>
          <w:lang w:val="en-CA"/>
        </w:rPr>
        <w:t>S3</w:t>
      </w:r>
      <w:bookmarkStart w:id="0" w:name="_GoBack"/>
      <w:bookmarkEnd w:id="0"/>
      <w:r w:rsidRPr="008C233B">
        <w:rPr>
          <w:rFonts w:ascii="Cambria" w:hAnsi="Cambria"/>
          <w:sz w:val="24"/>
          <w:szCs w:val="24"/>
          <w:lang w:val="en-CA"/>
        </w:rPr>
        <w:t xml:space="preserve"> Response of the silver ionic electrode over 4 months of use</w:t>
      </w:r>
      <w:r w:rsidR="00B90C06">
        <w:rPr>
          <w:rFonts w:ascii="Cambria" w:hAnsi="Cambria"/>
          <w:sz w:val="24"/>
          <w:szCs w:val="24"/>
          <w:lang w:val="en-CA"/>
        </w:rPr>
        <w:t>.</w:t>
      </w:r>
    </w:p>
    <w:p w:rsidR="00DF152B" w:rsidRPr="009F01F6" w:rsidRDefault="00DF152B">
      <w:pPr>
        <w:rPr>
          <w:lang w:val="en-CA"/>
        </w:rPr>
      </w:pPr>
    </w:p>
    <w:sectPr w:rsidR="00DF152B" w:rsidRPr="009F01F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F6"/>
    <w:rsid w:val="00785423"/>
    <w:rsid w:val="00925DC3"/>
    <w:rsid w:val="009F01F6"/>
    <w:rsid w:val="00AF06FD"/>
    <w:rsid w:val="00B90C06"/>
    <w:rsid w:val="00DA5CA9"/>
    <w:rsid w:val="00DF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1F6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0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01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1F6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0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01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USB%20DISK:Compilation%20e&#769;talonnage%20ISE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C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3074511519393"/>
          <c:y val="9.4730596175478396E-2"/>
          <c:w val="0.82082324455205802"/>
          <c:h val="0.74427619624470098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triangle"/>
            <c:size val="8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spPr>
              <a:ln w="25400">
                <a:solidFill>
                  <a:srgbClr val="000000"/>
                </a:solidFill>
                <a:prstDash val="solid"/>
              </a:ln>
            </c:spPr>
            <c:trendlineType val="linear"/>
            <c:dispRSqr val="1"/>
            <c:dispEq val="1"/>
            <c:trendlineLbl>
              <c:layout>
                <c:manualLayout>
                  <c:x val="2.21998809121772E-2"/>
                  <c:y val="0.340482254258277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Cambria"/>
                        <a:ea typeface="Cambria"/>
                        <a:cs typeface="Cambria"/>
                      </a:defRPr>
                    </a:pPr>
                    <a:r>
                      <a:rPr lang="fr-FR" sz="900" b="0" i="0" u="none" strike="noStrike" baseline="0">
                        <a:solidFill>
                          <a:srgbClr val="000000"/>
                        </a:solidFill>
                        <a:latin typeface="Cambria"/>
                        <a:ea typeface="Cambria"/>
                        <a:cs typeface="Cambria"/>
                      </a:rPr>
                      <a:t>y = 55,8x + 520,9</a:t>
                    </a:r>
                  </a:p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Cambria"/>
                        <a:ea typeface="Cambria"/>
                        <a:cs typeface="Cambria"/>
                      </a:defRPr>
                    </a:pPr>
                    <a:r>
                      <a:rPr lang="fr-FR" sz="900" b="0" i="0" u="none" strike="noStrike" baseline="0">
                        <a:solidFill>
                          <a:srgbClr val="000000"/>
                        </a:solidFill>
                        <a:latin typeface="Cambria"/>
                        <a:ea typeface="Cambria"/>
                        <a:cs typeface="Cambria"/>
                      </a:rPr>
                      <a:t>R² = 0,997</a:t>
                    </a:r>
                  </a:p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Cambria"/>
                        <a:ea typeface="Cambria"/>
                        <a:cs typeface="Cambria"/>
                      </a:defRPr>
                    </a:pPr>
                    <a:r>
                      <a:rPr lang="fr-FR" sz="900" b="0" i="0" u="none" strike="noStrike" baseline="0">
                        <a:solidFill>
                          <a:srgbClr val="000000"/>
                        </a:solidFill>
                        <a:latin typeface="Cambria"/>
                        <a:ea typeface="Cambria"/>
                        <a:cs typeface="Cambria"/>
                      </a:rPr>
                      <a:t>n=22</a:t>
                    </a:r>
                  </a:p>
                </c:rich>
              </c:tx>
              <c:numFmt formatCode="General" sourceLinked="0"/>
              <c:spPr>
                <a:noFill/>
                <a:ln w="25400">
                  <a:noFill/>
                </a:ln>
              </c:spPr>
            </c:trendlineLbl>
          </c:trendline>
          <c:xVal>
            <c:numRef>
              <c:f>'[Compilation étalonnage ISE.xls]Feuil1'!$C$1:$C$62</c:f>
              <c:numCache>
                <c:formatCode>General</c:formatCode>
                <c:ptCount val="62"/>
                <c:pt idx="0">
                  <c:v>-2.0329202658555028</c:v>
                </c:pt>
                <c:pt idx="1">
                  <c:v>-3.0329202658555028</c:v>
                </c:pt>
                <c:pt idx="2">
                  <c:v>-4.0329202658554779</c:v>
                </c:pt>
                <c:pt idx="3">
                  <c:v>-5.0329202658554779</c:v>
                </c:pt>
                <c:pt idx="4">
                  <c:v>-6.0329202658554779</c:v>
                </c:pt>
                <c:pt idx="5">
                  <c:v>-2.0329202658555028</c:v>
                </c:pt>
                <c:pt idx="6">
                  <c:v>-3.0329202658555028</c:v>
                </c:pt>
                <c:pt idx="7">
                  <c:v>-4.0329202658554779</c:v>
                </c:pt>
                <c:pt idx="8">
                  <c:v>-5.0329202658554779</c:v>
                </c:pt>
                <c:pt idx="9">
                  <c:v>-6.0329202658554779</c:v>
                </c:pt>
                <c:pt idx="10">
                  <c:v>-2.0329202658555028</c:v>
                </c:pt>
                <c:pt idx="11">
                  <c:v>-3.0329202658555028</c:v>
                </c:pt>
                <c:pt idx="12">
                  <c:v>-4.0329202658554779</c:v>
                </c:pt>
                <c:pt idx="13">
                  <c:v>-5.0329202658554779</c:v>
                </c:pt>
                <c:pt idx="14">
                  <c:v>-6.0329202658554779</c:v>
                </c:pt>
                <c:pt idx="15">
                  <c:v>-2.0329202658555028</c:v>
                </c:pt>
                <c:pt idx="16">
                  <c:v>-3.0329202658555028</c:v>
                </c:pt>
                <c:pt idx="17">
                  <c:v>-4.0329202658554779</c:v>
                </c:pt>
                <c:pt idx="18">
                  <c:v>-5.0329202658554779</c:v>
                </c:pt>
                <c:pt idx="19">
                  <c:v>-2.0329202658555028</c:v>
                </c:pt>
                <c:pt idx="20">
                  <c:v>-3.0329202658555028</c:v>
                </c:pt>
                <c:pt idx="21">
                  <c:v>-4.0329202658554779</c:v>
                </c:pt>
                <c:pt idx="22">
                  <c:v>-5.0329202658554779</c:v>
                </c:pt>
                <c:pt idx="23">
                  <c:v>-6.0329202658554779</c:v>
                </c:pt>
                <c:pt idx="24">
                  <c:v>-2.0329202658555028</c:v>
                </c:pt>
                <c:pt idx="25">
                  <c:v>-3.0329202658555028</c:v>
                </c:pt>
                <c:pt idx="26">
                  <c:v>-4.0329202658554779</c:v>
                </c:pt>
                <c:pt idx="27">
                  <c:v>-5.0329202658554779</c:v>
                </c:pt>
                <c:pt idx="28">
                  <c:v>-2.0329202658555028</c:v>
                </c:pt>
                <c:pt idx="29">
                  <c:v>-3.0329202658555028</c:v>
                </c:pt>
                <c:pt idx="30">
                  <c:v>-4.0329202658554779</c:v>
                </c:pt>
                <c:pt idx="31">
                  <c:v>-5.0329202658554779</c:v>
                </c:pt>
                <c:pt idx="32">
                  <c:v>-2.0329202658555028</c:v>
                </c:pt>
                <c:pt idx="33">
                  <c:v>-3.0329202658555028</c:v>
                </c:pt>
                <c:pt idx="34">
                  <c:v>-4.0329202658554779</c:v>
                </c:pt>
                <c:pt idx="35">
                  <c:v>-5.0329202658554779</c:v>
                </c:pt>
                <c:pt idx="36">
                  <c:v>-6.0329202658554779</c:v>
                </c:pt>
                <c:pt idx="37">
                  <c:v>-2.0329202658555028</c:v>
                </c:pt>
                <c:pt idx="38">
                  <c:v>-3.0329202658555028</c:v>
                </c:pt>
                <c:pt idx="39">
                  <c:v>-4.0329202658554779</c:v>
                </c:pt>
                <c:pt idx="40">
                  <c:v>-5.0329202658554779</c:v>
                </c:pt>
                <c:pt idx="41">
                  <c:v>-6.0329202658554779</c:v>
                </c:pt>
                <c:pt idx="42">
                  <c:v>-2.0329202658555028</c:v>
                </c:pt>
                <c:pt idx="43">
                  <c:v>-3.0329202658555028</c:v>
                </c:pt>
                <c:pt idx="44">
                  <c:v>-4.0329202658554779</c:v>
                </c:pt>
                <c:pt idx="45">
                  <c:v>-5.0329202658554779</c:v>
                </c:pt>
                <c:pt idx="46">
                  <c:v>-6.0329202658554779</c:v>
                </c:pt>
                <c:pt idx="47">
                  <c:v>-2.0329202658555028</c:v>
                </c:pt>
                <c:pt idx="48">
                  <c:v>-3.0329202658555028</c:v>
                </c:pt>
                <c:pt idx="49">
                  <c:v>-4.0329202658554779</c:v>
                </c:pt>
                <c:pt idx="50">
                  <c:v>-5.0329202658554779</c:v>
                </c:pt>
                <c:pt idx="51">
                  <c:v>-6.0329202658554779</c:v>
                </c:pt>
                <c:pt idx="52">
                  <c:v>-2.0329202658555028</c:v>
                </c:pt>
                <c:pt idx="53">
                  <c:v>-3.0329202658555028</c:v>
                </c:pt>
                <c:pt idx="54">
                  <c:v>-4.0329202658554779</c:v>
                </c:pt>
                <c:pt idx="55">
                  <c:v>-5.0329202658554779</c:v>
                </c:pt>
                <c:pt idx="56">
                  <c:v>-6.0329202658554779</c:v>
                </c:pt>
                <c:pt idx="57">
                  <c:v>-2.0329202658555028</c:v>
                </c:pt>
                <c:pt idx="58">
                  <c:v>-3.0329202658555028</c:v>
                </c:pt>
                <c:pt idx="59">
                  <c:v>-4.0329202658554779</c:v>
                </c:pt>
                <c:pt idx="60">
                  <c:v>-5.0329202658554779</c:v>
                </c:pt>
                <c:pt idx="61">
                  <c:v>-6.0329202658554779</c:v>
                </c:pt>
              </c:numCache>
            </c:numRef>
          </c:xVal>
          <c:yVal>
            <c:numRef>
              <c:f>'[Compilation étalonnage ISE.xls]Feuil1'!$A$1:$A$62</c:f>
              <c:numCache>
                <c:formatCode>General</c:formatCode>
                <c:ptCount val="62"/>
                <c:pt idx="0">
                  <c:v>405.9</c:v>
                </c:pt>
                <c:pt idx="1">
                  <c:v>347.3</c:v>
                </c:pt>
                <c:pt idx="2">
                  <c:v>286.8</c:v>
                </c:pt>
                <c:pt idx="3">
                  <c:v>246.5</c:v>
                </c:pt>
                <c:pt idx="4">
                  <c:v>179.4</c:v>
                </c:pt>
                <c:pt idx="5">
                  <c:v>406</c:v>
                </c:pt>
                <c:pt idx="6">
                  <c:v>348.8</c:v>
                </c:pt>
                <c:pt idx="7">
                  <c:v>293.39999999999952</c:v>
                </c:pt>
                <c:pt idx="8">
                  <c:v>235.7</c:v>
                </c:pt>
                <c:pt idx="9">
                  <c:v>180.5</c:v>
                </c:pt>
                <c:pt idx="10">
                  <c:v>401.6</c:v>
                </c:pt>
                <c:pt idx="11">
                  <c:v>348.8</c:v>
                </c:pt>
                <c:pt idx="12">
                  <c:v>292.5</c:v>
                </c:pt>
                <c:pt idx="13">
                  <c:v>239.5</c:v>
                </c:pt>
                <c:pt idx="14">
                  <c:v>172.2</c:v>
                </c:pt>
                <c:pt idx="15">
                  <c:v>407</c:v>
                </c:pt>
                <c:pt idx="16">
                  <c:v>346.3</c:v>
                </c:pt>
                <c:pt idx="17">
                  <c:v>292.39999999999952</c:v>
                </c:pt>
                <c:pt idx="18">
                  <c:v>236.6</c:v>
                </c:pt>
                <c:pt idx="19">
                  <c:v>405.6</c:v>
                </c:pt>
                <c:pt idx="20">
                  <c:v>348.7</c:v>
                </c:pt>
                <c:pt idx="21">
                  <c:v>291.5</c:v>
                </c:pt>
                <c:pt idx="22">
                  <c:v>235.1</c:v>
                </c:pt>
                <c:pt idx="23">
                  <c:v>178.8</c:v>
                </c:pt>
                <c:pt idx="24">
                  <c:v>409</c:v>
                </c:pt>
                <c:pt idx="25">
                  <c:v>348.2</c:v>
                </c:pt>
                <c:pt idx="26">
                  <c:v>295.5</c:v>
                </c:pt>
                <c:pt idx="27">
                  <c:v>241.3</c:v>
                </c:pt>
                <c:pt idx="28">
                  <c:v>408.7</c:v>
                </c:pt>
                <c:pt idx="29">
                  <c:v>352.4</c:v>
                </c:pt>
                <c:pt idx="30">
                  <c:v>297.89999999999952</c:v>
                </c:pt>
                <c:pt idx="31">
                  <c:v>240.4</c:v>
                </c:pt>
                <c:pt idx="32">
                  <c:v>409.6</c:v>
                </c:pt>
                <c:pt idx="33">
                  <c:v>356.4</c:v>
                </c:pt>
                <c:pt idx="34">
                  <c:v>297.2</c:v>
                </c:pt>
                <c:pt idx="35">
                  <c:v>240.5</c:v>
                </c:pt>
                <c:pt idx="36">
                  <c:v>186.8</c:v>
                </c:pt>
                <c:pt idx="37">
                  <c:v>410.3</c:v>
                </c:pt>
                <c:pt idx="38">
                  <c:v>355.6</c:v>
                </c:pt>
                <c:pt idx="39">
                  <c:v>297.3</c:v>
                </c:pt>
                <c:pt idx="40">
                  <c:v>240.1</c:v>
                </c:pt>
                <c:pt idx="41">
                  <c:v>189.8</c:v>
                </c:pt>
                <c:pt idx="42">
                  <c:v>409.5</c:v>
                </c:pt>
                <c:pt idx="43">
                  <c:v>355.3</c:v>
                </c:pt>
                <c:pt idx="44">
                  <c:v>299.10000000000002</c:v>
                </c:pt>
                <c:pt idx="45">
                  <c:v>242.5</c:v>
                </c:pt>
                <c:pt idx="46">
                  <c:v>198.8</c:v>
                </c:pt>
                <c:pt idx="47">
                  <c:v>409.1</c:v>
                </c:pt>
                <c:pt idx="48">
                  <c:v>354</c:v>
                </c:pt>
                <c:pt idx="49">
                  <c:v>295.89999999999952</c:v>
                </c:pt>
                <c:pt idx="50">
                  <c:v>240.5</c:v>
                </c:pt>
                <c:pt idx="51">
                  <c:v>182.4</c:v>
                </c:pt>
                <c:pt idx="52">
                  <c:v>409.4</c:v>
                </c:pt>
                <c:pt idx="53">
                  <c:v>356.9</c:v>
                </c:pt>
                <c:pt idx="54">
                  <c:v>298.10000000000002</c:v>
                </c:pt>
                <c:pt idx="55">
                  <c:v>241.1</c:v>
                </c:pt>
                <c:pt idx="56">
                  <c:v>184.5</c:v>
                </c:pt>
                <c:pt idx="57">
                  <c:v>409.4</c:v>
                </c:pt>
                <c:pt idx="58">
                  <c:v>356.9</c:v>
                </c:pt>
                <c:pt idx="59">
                  <c:v>296.5</c:v>
                </c:pt>
                <c:pt idx="60">
                  <c:v>240.9</c:v>
                </c:pt>
                <c:pt idx="61">
                  <c:v>195.6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5535360"/>
        <c:axId val="145537280"/>
      </c:scatterChart>
      <c:valAx>
        <c:axId val="145535360"/>
        <c:scaling>
          <c:orientation val="minMax"/>
          <c:max val="-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Log[Ag+]</a:t>
                </a:r>
              </a:p>
            </c:rich>
          </c:tx>
          <c:layout>
            <c:manualLayout>
              <c:xMode val="edge"/>
              <c:yMode val="edge"/>
              <c:x val="0.48184022707733398"/>
              <c:y val="0.9236658385616249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Cambria"/>
                <a:ea typeface="Cambria"/>
                <a:cs typeface="Cambria"/>
              </a:defRPr>
            </a:pPr>
            <a:endParaRPr lang="fr-FR"/>
          </a:p>
        </c:txPr>
        <c:crossAx val="145537280"/>
        <c:crosses val="autoZero"/>
        <c:crossBetween val="midCat"/>
      </c:valAx>
      <c:valAx>
        <c:axId val="145537280"/>
        <c:scaling>
          <c:orientation val="minMax"/>
          <c:min val="10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Potential (mV)</a:t>
                </a:r>
              </a:p>
            </c:rich>
          </c:tx>
          <c:layout>
            <c:manualLayout>
              <c:xMode val="edge"/>
              <c:yMode val="edge"/>
              <c:x val="0"/>
              <c:y val="0.3511456653971670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fr-FR"/>
          </a:p>
        </c:txPr>
        <c:crossAx val="145535360"/>
        <c:crossesAt val="-7"/>
        <c:crossBetween val="midCat"/>
      </c:valAx>
      <c:spPr>
        <a:noFill/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Cambria"/>
          <a:ea typeface="Arial"/>
          <a:cs typeface="Cambria"/>
        </a:defRPr>
      </a:pPr>
      <a:endParaRPr lang="fr-F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Montreal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</dc:creator>
  <cp:lastModifiedBy>Sébastien</cp:lastModifiedBy>
  <cp:revision>6</cp:revision>
  <dcterms:created xsi:type="dcterms:W3CDTF">2013-02-01T08:56:00Z</dcterms:created>
  <dcterms:modified xsi:type="dcterms:W3CDTF">2013-04-24T10:17:00Z</dcterms:modified>
</cp:coreProperties>
</file>